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52563" w14:textId="21A01D1A" w:rsidR="00E14577" w:rsidRDefault="00E14577">
      <w:r w:rsidRPr="00465AC6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1" layoutInCell="1" allowOverlap="1" wp14:anchorId="35C849E4" wp14:editId="6926832F">
                <wp:simplePos x="0" y="0"/>
                <wp:positionH relativeFrom="column">
                  <wp:posOffset>-731520</wp:posOffset>
                </wp:positionH>
                <wp:positionV relativeFrom="paragraph">
                  <wp:posOffset>273050</wp:posOffset>
                </wp:positionV>
                <wp:extent cx="6702425" cy="4023360"/>
                <wp:effectExtent l="0" t="0" r="3175" b="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2425" cy="402336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DA5BC" id="Rectangle 2" o:spid="_x0000_s1026" alt="&quot;&quot;" style="position:absolute;margin-left:-57.6pt;margin-top:21.5pt;width:527.75pt;height:316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" fillcolor="#ffc000" stroked="f" strokeweight="1pt">
                <w10:anchorlock/>
              </v:rect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568"/>
        <w:gridCol w:w="3005"/>
      </w:tblGrid>
      <w:tr w:rsidR="00A73656" w14:paraId="345D864C" w14:textId="77777777" w:rsidTr="002A2CF8">
        <w:trPr>
          <w:trHeight w:val="2106"/>
        </w:trPr>
        <w:tc>
          <w:tcPr>
            <w:tcW w:w="6573" w:type="dxa"/>
            <w:gridSpan w:val="2"/>
            <w:tcMar>
              <w:top w:w="576" w:type="dxa"/>
              <w:left w:w="115" w:type="dxa"/>
              <w:right w:w="115" w:type="dxa"/>
            </w:tcMar>
          </w:tcPr>
          <w:p w14:paraId="0F083437" w14:textId="06AC4E30" w:rsidR="00A73656" w:rsidRDefault="00A0579B" w:rsidP="00931508">
            <w:pPr>
              <w:pStyle w:val="Title"/>
            </w:pPr>
            <w:r>
              <w:t>Determining dose in Behavioral Intervention Research</w:t>
            </w:r>
          </w:p>
        </w:tc>
        <w:tc>
          <w:tcPr>
            <w:tcW w:w="3005" w:type="dxa"/>
            <w:tcMar>
              <w:top w:w="576" w:type="dxa"/>
            </w:tcMar>
          </w:tcPr>
          <w:p w14:paraId="48C7CF03" w14:textId="3C3DD438" w:rsidR="00A73656" w:rsidRDefault="00A73656" w:rsidP="00F85F7C">
            <w:pPr>
              <w:spacing w:after="200"/>
            </w:pPr>
          </w:p>
        </w:tc>
      </w:tr>
      <w:tr w:rsidR="00A73656" w14:paraId="774A1B5E" w14:textId="77777777" w:rsidTr="002A2CF8">
        <w:trPr>
          <w:trHeight w:val="891"/>
        </w:trPr>
        <w:tc>
          <w:tcPr>
            <w:tcW w:w="6573" w:type="dxa"/>
            <w:gridSpan w:val="2"/>
            <w:tcMar>
              <w:top w:w="1080" w:type="dxa"/>
              <w:left w:w="115" w:type="dxa"/>
              <w:right w:w="115" w:type="dxa"/>
            </w:tcMar>
          </w:tcPr>
          <w:p w14:paraId="30A3DD73" w14:textId="77777777" w:rsidR="00A73656" w:rsidRDefault="00A73656" w:rsidP="00931508">
            <w:pPr>
              <w:pStyle w:val="Bold"/>
            </w:pPr>
          </w:p>
        </w:tc>
        <w:tc>
          <w:tcPr>
            <w:tcW w:w="3005" w:type="dxa"/>
            <w:tcMar>
              <w:top w:w="1080" w:type="dxa"/>
              <w:left w:w="115" w:type="dxa"/>
              <w:right w:w="115" w:type="dxa"/>
            </w:tcMar>
          </w:tcPr>
          <w:p w14:paraId="19734C7D" w14:textId="77777777" w:rsidR="00A73656" w:rsidRDefault="00A73656" w:rsidP="00931508">
            <w:pPr>
              <w:spacing w:after="200"/>
            </w:pPr>
          </w:p>
        </w:tc>
      </w:tr>
      <w:tr w:rsidR="002D133E" w:rsidRPr="00C96056" w14:paraId="5C2D1FB1" w14:textId="77777777" w:rsidTr="002A2CF8">
        <w:trPr>
          <w:trHeight w:val="2207"/>
        </w:trPr>
        <w:tc>
          <w:tcPr>
            <w:tcW w:w="3005" w:type="dxa"/>
          </w:tcPr>
          <w:p w14:paraId="7108DBAF" w14:textId="4D05E4B0" w:rsidR="002D133E" w:rsidRPr="007B7736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  <w:r>
              <w:rPr>
                <w:sz w:val="24"/>
              </w:rPr>
              <w:t>Contact Info</w:t>
            </w:r>
          </w:p>
          <w:p w14:paraId="7BE0B032" w14:textId="5B78473A" w:rsidR="002D133E" w:rsidRDefault="00EB15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  <w:r>
              <w:rPr>
                <w:sz w:val="24"/>
              </w:rPr>
              <w:t>EMBRACE@umn.edu</w:t>
            </w:r>
          </w:p>
          <w:p w14:paraId="75D47675" w14:textId="77777777" w:rsidR="002D133E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</w:p>
          <w:p w14:paraId="72D14FED" w14:textId="77777777" w:rsidR="002D133E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</w:p>
          <w:p w14:paraId="62F426D0" w14:textId="77777777" w:rsidR="002D133E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</w:p>
          <w:p w14:paraId="4B81F32C" w14:textId="77777777" w:rsidR="002D133E" w:rsidRPr="007B7736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</w:p>
        </w:tc>
        <w:tc>
          <w:tcPr>
            <w:tcW w:w="3568" w:type="dxa"/>
          </w:tcPr>
          <w:p w14:paraId="594EF563" w14:textId="118124E4" w:rsidR="002D133E" w:rsidRPr="007B7736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  <w:r w:rsidRPr="002D133E">
              <w:rPr>
                <w:sz w:val="24"/>
              </w:rPr>
              <w:t>https://embraceroybal.wisc.edu/</w:t>
            </w:r>
          </w:p>
        </w:tc>
        <w:tc>
          <w:tcPr>
            <w:tcW w:w="3005" w:type="dxa"/>
          </w:tcPr>
          <w:p w14:paraId="44250B3E" w14:textId="564F121D" w:rsidR="002D133E" w:rsidRPr="007B7736" w:rsidRDefault="002D133E" w:rsidP="002D133E">
            <w:pPr>
              <w:pStyle w:val="Info"/>
              <w:framePr w:hSpace="0" w:wrap="auto" w:vAnchor="margin" w:hAnchor="text" w:yAlign="inline"/>
              <w:rPr>
                <w:sz w:val="24"/>
              </w:rPr>
            </w:pPr>
          </w:p>
        </w:tc>
      </w:tr>
    </w:tbl>
    <w:p w14:paraId="17BF5F8C" w14:textId="00453066" w:rsidR="00A73656" w:rsidRDefault="00A73656" w:rsidP="00D41196">
      <w:pPr>
        <w:pStyle w:val="Heading2"/>
        <w:sectPr w:rsidR="00A73656" w:rsidSect="00A73656">
          <w:headerReference w:type="even" r:id="rId10"/>
          <w:headerReference w:type="default" r:id="rId11"/>
          <w:footerReference w:type="default" r:id="rId12"/>
          <w:pgSz w:w="12240" w:h="15840" w:code="1"/>
          <w:pgMar w:top="4320" w:right="1152" w:bottom="720" w:left="1152" w:header="432" w:footer="144" w:gutter="0"/>
          <w:cols w:space="720"/>
          <w:docGrid w:linePitch="360"/>
        </w:sectPr>
      </w:pPr>
    </w:p>
    <w:p w14:paraId="23C12FB0" w14:textId="20F8FAF3" w:rsidR="00E14577" w:rsidRPr="00704665" w:rsidRDefault="002A2CF8" w:rsidP="00D41196">
      <w:pPr>
        <w:pStyle w:val="Heading2"/>
      </w:pPr>
      <w:r>
        <w:lastRenderedPageBreak/>
        <w:t>Purpose</w:t>
      </w:r>
    </w:p>
    <w:p w14:paraId="0350C5CB" w14:textId="1937B9E2" w:rsidR="00806984" w:rsidRPr="00060A47" w:rsidRDefault="00806984" w:rsidP="00806984">
      <w:pPr>
        <w:rPr>
          <w:vertAlign w:val="superscript"/>
        </w:rPr>
      </w:pPr>
      <w:r>
        <w:t>To guide behavioral scientists in conceptualizing, operationalizing, and reporting dose — the quantity, intensity, and duration of intervention exposure — to enhance intervention fidelity, replicability, and interpretation. Based on Gitlin &amp; Czaja, Behavioral Intervention Research: Designing, Evaluating, and Implementing.</w:t>
      </w:r>
      <w:r w:rsidR="00060A47">
        <w:rPr>
          <w:vertAlign w:val="superscript"/>
        </w:rPr>
        <w:t>7</w:t>
      </w:r>
    </w:p>
    <w:p w14:paraId="0537CF08" w14:textId="77777777" w:rsidR="000A686D" w:rsidRDefault="000A686D" w:rsidP="00806984"/>
    <w:p w14:paraId="65187BD4" w14:textId="4196CDF9" w:rsidR="00E14577" w:rsidRPr="00704665" w:rsidRDefault="00407EE1" w:rsidP="00D41196">
      <w:pPr>
        <w:pStyle w:val="Heading2"/>
      </w:pPr>
      <w:r>
        <w:t>What is “Dose” in Behavioral Research?</w:t>
      </w:r>
    </w:p>
    <w:p w14:paraId="1738ECBA" w14:textId="12D6B89D" w:rsidR="00512BBA" w:rsidRPr="00611EB6" w:rsidRDefault="00512BBA" w:rsidP="00512BBA">
      <w:pPr>
        <w:rPr>
          <w:vertAlign w:val="superscript"/>
        </w:rPr>
      </w:pPr>
      <w:r>
        <w:t>Dose refers to the amount of the intervention delivered and/or received by participants. It parallels medication dosage in biomedical trials but encompasses multiple behavioral components. Gitlin &amp; Czaja emphasize that dose is multidimensional and should be defined a priori, measured throughout, and linked to both outcomes and mechanisms of action.</w:t>
      </w:r>
      <w:r w:rsidR="00E13C64">
        <w:rPr>
          <w:vertAlign w:val="superscript"/>
        </w:rPr>
        <w:t>6,7</w:t>
      </w:r>
    </w:p>
    <w:p w14:paraId="7DDE50FE" w14:textId="77777777" w:rsidR="00512BBA" w:rsidRDefault="00512BBA" w:rsidP="00512BBA">
      <w:r>
        <w:t>Dimensions of dose include:</w:t>
      </w:r>
    </w:p>
    <w:p w14:paraId="54D60DAB" w14:textId="77777777" w:rsidR="00512BBA" w:rsidRDefault="00512BBA" w:rsidP="00512BBA">
      <w:r>
        <w:t>• Dose delivered — quantity of intervention offered (sessions, contacts, duration).</w:t>
      </w:r>
    </w:p>
    <w:p w14:paraId="32D73A74" w14:textId="77777777" w:rsidR="00512BBA" w:rsidRDefault="00512BBA" w:rsidP="00512BBA">
      <w:r>
        <w:t>• Dose received — participant engagement, completion, or exposure to components.</w:t>
      </w:r>
    </w:p>
    <w:p w14:paraId="05EA4C1C" w14:textId="77777777" w:rsidR="00512BBA" w:rsidRDefault="00512BBA" w:rsidP="00512BBA">
      <w:r>
        <w:t>• Dose intended vs. dose enacted — planned vs. actual implementation.</w:t>
      </w:r>
    </w:p>
    <w:p w14:paraId="08768B18" w14:textId="77777777" w:rsidR="00512BBA" w:rsidRDefault="00512BBA" w:rsidP="00512BBA">
      <w:r>
        <w:t>• Cumulative dose — total exposure over time.</w:t>
      </w:r>
    </w:p>
    <w:p w14:paraId="46C2BEAE" w14:textId="77777777" w:rsidR="00512BBA" w:rsidRDefault="00512BBA" w:rsidP="00512BBA">
      <w:r>
        <w:t>• Effective dose — amount sufficient to produce the targeted behavioral or psychosocial change.</w:t>
      </w:r>
    </w:p>
    <w:p w14:paraId="52A7D32D" w14:textId="77777777" w:rsidR="003C44A7" w:rsidRDefault="003C44A7" w:rsidP="003C44A7">
      <w:pPr>
        <w:pStyle w:val="Bold"/>
      </w:pPr>
    </w:p>
    <w:p w14:paraId="6B41E2C4" w14:textId="77777777" w:rsidR="00704D73" w:rsidRDefault="00704D73">
      <w:pPr>
        <w:spacing w:before="0" w:after="160" w:line="278" w:lineRule="auto"/>
        <w:rPr>
          <w:rFonts w:asciiTheme="majorHAnsi" w:hAnsiTheme="majorHAnsi"/>
          <w:b/>
          <w:bCs/>
          <w:noProof/>
          <w:szCs w:val="40"/>
        </w:rPr>
      </w:pPr>
      <w:r>
        <w:br w:type="page"/>
      </w:r>
    </w:p>
    <w:p w14:paraId="0B5D512C" w14:textId="6CD61072" w:rsidR="00E14577" w:rsidRPr="003C44A7" w:rsidRDefault="00EA3BDC" w:rsidP="00D41196">
      <w:pPr>
        <w:pStyle w:val="Heading2"/>
      </w:pPr>
      <w:r>
        <w:lastRenderedPageBreak/>
        <w:t>Conceptual Framework for Determining Dose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334E3" w14:paraId="09D89F35" w14:textId="77777777" w:rsidTr="001334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80" w:type="dxa"/>
          </w:tcPr>
          <w:p w14:paraId="4F670994" w14:textId="77777777" w:rsidR="001334E3" w:rsidRPr="007E70EB" w:rsidRDefault="001334E3" w:rsidP="00446262">
            <w:r w:rsidRPr="007E70EB">
              <w:t>Element</w:t>
            </w:r>
          </w:p>
        </w:tc>
        <w:tc>
          <w:tcPr>
            <w:tcW w:w="2880" w:type="dxa"/>
          </w:tcPr>
          <w:p w14:paraId="3EE75931" w14:textId="77777777" w:rsidR="001334E3" w:rsidRPr="007E70EB" w:rsidRDefault="001334E3" w:rsidP="004462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E70EB">
              <w:t>Questions to Guide Researchers</w:t>
            </w:r>
          </w:p>
        </w:tc>
        <w:tc>
          <w:tcPr>
            <w:tcW w:w="2880" w:type="dxa"/>
          </w:tcPr>
          <w:p w14:paraId="4C559241" w14:textId="77777777" w:rsidR="001334E3" w:rsidRPr="007E70EB" w:rsidRDefault="001334E3" w:rsidP="004462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E70EB">
              <w:t>Example</w:t>
            </w:r>
          </w:p>
        </w:tc>
      </w:tr>
      <w:tr w:rsidR="001334E3" w14:paraId="54CC8D55" w14:textId="77777777" w:rsidTr="00133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66074B1" w14:textId="77777777" w:rsidR="001334E3" w:rsidRDefault="001334E3" w:rsidP="00446262">
            <w:r>
              <w:t>Frequency</w:t>
            </w:r>
          </w:p>
        </w:tc>
        <w:tc>
          <w:tcPr>
            <w:tcW w:w="2880" w:type="dxa"/>
          </w:tcPr>
          <w:p w14:paraId="4D698C3B" w14:textId="77777777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How often are intervention contacts scheduled?</w:t>
            </w:r>
          </w:p>
        </w:tc>
        <w:tc>
          <w:tcPr>
            <w:tcW w:w="2880" w:type="dxa"/>
          </w:tcPr>
          <w:p w14:paraId="65359CC8" w14:textId="77777777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home visit/week</w:t>
            </w:r>
          </w:p>
        </w:tc>
      </w:tr>
      <w:tr w:rsidR="001334E3" w14:paraId="39F34071" w14:textId="77777777" w:rsidTr="001334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656C634" w14:textId="77777777" w:rsidR="001334E3" w:rsidRDefault="001334E3" w:rsidP="00446262">
            <w:r>
              <w:t>Duration</w:t>
            </w:r>
          </w:p>
        </w:tc>
        <w:tc>
          <w:tcPr>
            <w:tcW w:w="2880" w:type="dxa"/>
          </w:tcPr>
          <w:p w14:paraId="09FE87F2" w14:textId="77777777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is the length of each contact?</w:t>
            </w:r>
          </w:p>
        </w:tc>
        <w:tc>
          <w:tcPr>
            <w:tcW w:w="2880" w:type="dxa"/>
          </w:tcPr>
          <w:p w14:paraId="04B1F43B" w14:textId="77777777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 minutes</w:t>
            </w:r>
          </w:p>
        </w:tc>
      </w:tr>
      <w:tr w:rsidR="001334E3" w14:paraId="00623645" w14:textId="77777777" w:rsidTr="00133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3FC140E" w14:textId="77777777" w:rsidR="001334E3" w:rsidRDefault="001334E3" w:rsidP="00446262">
            <w:r>
              <w:t>Total exposure</w:t>
            </w:r>
          </w:p>
        </w:tc>
        <w:tc>
          <w:tcPr>
            <w:tcW w:w="2880" w:type="dxa"/>
          </w:tcPr>
          <w:p w14:paraId="389A313B" w14:textId="77777777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How long does the full program last?</w:t>
            </w:r>
          </w:p>
        </w:tc>
        <w:tc>
          <w:tcPr>
            <w:tcW w:w="2880" w:type="dxa"/>
          </w:tcPr>
          <w:p w14:paraId="0E5F7D9A" w14:textId="77777777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 weeks total</w:t>
            </w:r>
          </w:p>
        </w:tc>
      </w:tr>
      <w:tr w:rsidR="001334E3" w14:paraId="5CA2D0F8" w14:textId="77777777" w:rsidTr="001334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2C8A6D1" w14:textId="77777777" w:rsidR="001334E3" w:rsidRDefault="001334E3" w:rsidP="00446262">
            <w:r>
              <w:t>Intensity</w:t>
            </w:r>
          </w:p>
        </w:tc>
        <w:tc>
          <w:tcPr>
            <w:tcW w:w="2880" w:type="dxa"/>
          </w:tcPr>
          <w:p w14:paraId="76B49124" w14:textId="77777777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“active” or demanding is each session?</w:t>
            </w:r>
          </w:p>
        </w:tc>
        <w:tc>
          <w:tcPr>
            <w:tcW w:w="2880" w:type="dxa"/>
          </w:tcPr>
          <w:p w14:paraId="08310BEA" w14:textId="4EFD7845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Cognitive training tasks + homework</w:t>
            </w:r>
            <w:r w:rsidR="006B23CC">
              <w:t xml:space="preserve"> might reflect moderate intensity</w:t>
            </w:r>
          </w:p>
        </w:tc>
      </w:tr>
      <w:tr w:rsidR="001334E3" w14:paraId="34771939" w14:textId="77777777" w:rsidTr="00133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D37A670" w14:textId="77777777" w:rsidR="001334E3" w:rsidRDefault="001334E3" w:rsidP="00446262">
            <w:r>
              <w:t>Tailoring</w:t>
            </w:r>
          </w:p>
        </w:tc>
        <w:tc>
          <w:tcPr>
            <w:tcW w:w="2880" w:type="dxa"/>
          </w:tcPr>
          <w:p w14:paraId="0AF9098E" w14:textId="77777777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 dose individualized (adaptive) or fixed?</w:t>
            </w:r>
          </w:p>
        </w:tc>
        <w:tc>
          <w:tcPr>
            <w:tcW w:w="2880" w:type="dxa"/>
          </w:tcPr>
          <w:p w14:paraId="0EF05199" w14:textId="3C86D7B5" w:rsidR="001334E3" w:rsidRDefault="001334E3" w:rsidP="004462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More sessions</w:t>
            </w:r>
            <w:r w:rsidR="00F0485C">
              <w:t>,</w:t>
            </w:r>
            <w:r>
              <w:t xml:space="preserve"> if goals unmet</w:t>
            </w:r>
          </w:p>
        </w:tc>
      </w:tr>
      <w:tr w:rsidR="001334E3" w14:paraId="692C2BEC" w14:textId="77777777" w:rsidTr="001334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80F73DA" w14:textId="77777777" w:rsidR="001334E3" w:rsidRDefault="001334E3" w:rsidP="00446262">
            <w:r>
              <w:t>Adherence measurement</w:t>
            </w:r>
          </w:p>
        </w:tc>
        <w:tc>
          <w:tcPr>
            <w:tcW w:w="2880" w:type="dxa"/>
          </w:tcPr>
          <w:p w14:paraId="63DC4B5C" w14:textId="77777777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will actual dose received be tracked?</w:t>
            </w:r>
          </w:p>
        </w:tc>
        <w:tc>
          <w:tcPr>
            <w:tcW w:w="2880" w:type="dxa"/>
          </w:tcPr>
          <w:p w14:paraId="1543E81C" w14:textId="77777777" w:rsidR="001334E3" w:rsidRDefault="001334E3" w:rsidP="004462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Attendance logs, digital tracking</w:t>
            </w:r>
          </w:p>
        </w:tc>
      </w:tr>
    </w:tbl>
    <w:p w14:paraId="1084DF53" w14:textId="77777777" w:rsidR="003C44A7" w:rsidRDefault="003C44A7" w:rsidP="003C44A7">
      <w:pPr>
        <w:pStyle w:val="Bold"/>
      </w:pPr>
    </w:p>
    <w:p w14:paraId="3E8AB166" w14:textId="77777777" w:rsidR="00637076" w:rsidRDefault="00637076">
      <w:pPr>
        <w:spacing w:before="0" w:after="160" w:line="278" w:lineRule="auto"/>
        <w:rPr>
          <w:rFonts w:asciiTheme="majorHAnsi" w:hAnsiTheme="majorHAnsi"/>
          <w:b/>
          <w:bCs/>
          <w:noProof/>
          <w:szCs w:val="40"/>
        </w:rPr>
      </w:pPr>
      <w:r>
        <w:br w:type="page"/>
      </w:r>
    </w:p>
    <w:p w14:paraId="433CFEB9" w14:textId="2078EBFD" w:rsidR="00E60CBB" w:rsidRPr="00E60CBB" w:rsidRDefault="00E60CBB" w:rsidP="00E60CBB">
      <w:pPr>
        <w:pStyle w:val="Heading2"/>
      </w:pPr>
      <w:r>
        <w:lastRenderedPageBreak/>
        <w:t xml:space="preserve">Dosing in </w:t>
      </w:r>
      <w:r w:rsidR="00734EE5">
        <w:t xml:space="preserve">Traditional Behavioral and </w:t>
      </w:r>
      <w:r>
        <w:t>Digital (Web</w:t>
      </w:r>
      <w:r w:rsidR="00734EE5">
        <w:t xml:space="preserve"> </w:t>
      </w:r>
      <w:r>
        <w:t xml:space="preserve">App-Based) </w:t>
      </w:r>
      <w:r w:rsidR="00777383">
        <w:t>Interventions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481"/>
        <w:gridCol w:w="3607"/>
        <w:gridCol w:w="3848"/>
      </w:tblGrid>
      <w:tr w:rsidR="00E60CBB" w:rsidRPr="00E60CBB" w14:paraId="12C36A9B" w14:textId="77777777" w:rsidTr="006370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1604C7F7" w14:textId="77777777" w:rsidR="00E60CBB" w:rsidRPr="00E60CBB" w:rsidRDefault="00E60CBB" w:rsidP="00E60CBB">
            <w:pPr>
              <w:pStyle w:val="Bold"/>
            </w:pPr>
            <w:r w:rsidRPr="00E60CBB">
              <w:t>Dimension of Dosing</w:t>
            </w:r>
          </w:p>
        </w:tc>
        <w:tc>
          <w:tcPr>
            <w:tcW w:w="0" w:type="auto"/>
            <w:hideMark/>
          </w:tcPr>
          <w:p w14:paraId="50781084" w14:textId="77777777" w:rsidR="00E60CBB" w:rsidRPr="00E60CBB" w:rsidRDefault="00E60CBB" w:rsidP="00E60CBB">
            <w:pPr>
              <w:pStyle w:val="Bol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0CBB">
              <w:t>Traditional Behavioral Interventions</w:t>
            </w:r>
          </w:p>
        </w:tc>
        <w:tc>
          <w:tcPr>
            <w:tcW w:w="0" w:type="auto"/>
            <w:hideMark/>
          </w:tcPr>
          <w:p w14:paraId="291E843A" w14:textId="4FA5B172" w:rsidR="00E60CBB" w:rsidRPr="00E60CBB" w:rsidRDefault="00637076" w:rsidP="00E60CBB">
            <w:pPr>
              <w:pStyle w:val="Bol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Digital (Web/</w:t>
            </w:r>
            <w:r w:rsidR="00E60CBB" w:rsidRPr="00E60CBB">
              <w:t>App</w:t>
            </w:r>
            <w:r>
              <w:t>-Based</w:t>
            </w:r>
            <w:r w:rsidR="00E60CBB" w:rsidRPr="00E60CBB">
              <w:t xml:space="preserve"> Interventions</w:t>
            </w:r>
          </w:p>
        </w:tc>
      </w:tr>
      <w:tr w:rsidR="00E60CBB" w:rsidRPr="00E60CBB" w14:paraId="3F606CAA" w14:textId="77777777" w:rsidTr="006370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DD855C" w14:textId="77777777" w:rsidR="00E60CBB" w:rsidRPr="00E60CBB" w:rsidRDefault="00E60CBB" w:rsidP="00E60CBB">
            <w:pPr>
              <w:pStyle w:val="Bold"/>
            </w:pPr>
            <w:r w:rsidRPr="00E60CBB">
              <w:t>Definition of Dose</w:t>
            </w:r>
          </w:p>
        </w:tc>
        <w:tc>
          <w:tcPr>
            <w:tcW w:w="0" w:type="auto"/>
            <w:hideMark/>
          </w:tcPr>
          <w:p w14:paraId="66521E72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Dose defined by number of sessions, session length, and overall treatment duration (e.g., weekly 60-minute sessions).</w:t>
            </w:r>
          </w:p>
        </w:tc>
        <w:tc>
          <w:tcPr>
            <w:tcW w:w="0" w:type="auto"/>
            <w:hideMark/>
          </w:tcPr>
          <w:p w14:paraId="7766D759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Dose defined using multiple engagement metrics such as logins, modules completed, time-on-app, feature use, or interaction frequency.</w:t>
            </w:r>
          </w:p>
        </w:tc>
      </w:tr>
      <w:tr w:rsidR="00E60CBB" w:rsidRPr="00E60CBB" w14:paraId="5126CFB5" w14:textId="77777777" w:rsidTr="006370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358EFF" w14:textId="77777777" w:rsidR="00E60CBB" w:rsidRPr="00E60CBB" w:rsidRDefault="00E60CBB" w:rsidP="00E60CBB">
            <w:pPr>
              <w:pStyle w:val="Bold"/>
            </w:pPr>
            <w:r w:rsidRPr="00E60CBB">
              <w:t>Standardization of Dose</w:t>
            </w:r>
          </w:p>
        </w:tc>
        <w:tc>
          <w:tcPr>
            <w:tcW w:w="0" w:type="auto"/>
            <w:hideMark/>
          </w:tcPr>
          <w:p w14:paraId="2EBBB34A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Highly standardized and protocol-driven; dose is prescribed uniformly across participants.</w:t>
            </w:r>
          </w:p>
        </w:tc>
        <w:tc>
          <w:tcPr>
            <w:tcW w:w="0" w:type="auto"/>
            <w:hideMark/>
          </w:tcPr>
          <w:p w14:paraId="71D9F206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User-driven and variable; participants self-select timing, intensity, and amount of exposure.</w:t>
            </w:r>
          </w:p>
        </w:tc>
      </w:tr>
      <w:tr w:rsidR="00E60CBB" w:rsidRPr="00E60CBB" w14:paraId="370CEACB" w14:textId="77777777" w:rsidTr="006370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FB3296" w14:textId="77777777" w:rsidR="00E60CBB" w:rsidRPr="00E60CBB" w:rsidRDefault="00E60CBB" w:rsidP="00E60CBB">
            <w:pPr>
              <w:pStyle w:val="Bold"/>
            </w:pPr>
            <w:r w:rsidRPr="00E60CBB">
              <w:t>Minimum Effective Dose</w:t>
            </w:r>
          </w:p>
        </w:tc>
        <w:tc>
          <w:tcPr>
            <w:tcW w:w="0" w:type="auto"/>
            <w:hideMark/>
          </w:tcPr>
          <w:p w14:paraId="37D08A8C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Often assumed based on prior evidence or theory; rarely empirically tested within a trial.</w:t>
            </w:r>
          </w:p>
        </w:tc>
        <w:tc>
          <w:tcPr>
            <w:tcW w:w="0" w:type="auto"/>
            <w:hideMark/>
          </w:tcPr>
          <w:p w14:paraId="565FDF78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Can be empirically estimated using detailed usage data; benefit may occur with partial or brief exposure.</w:t>
            </w:r>
          </w:p>
        </w:tc>
      </w:tr>
      <w:tr w:rsidR="00E60CBB" w:rsidRPr="00E60CBB" w14:paraId="4233C7B9" w14:textId="77777777" w:rsidTr="006370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982C51" w14:textId="77777777" w:rsidR="00E60CBB" w:rsidRPr="00E60CBB" w:rsidRDefault="00E60CBB" w:rsidP="00E60CBB">
            <w:pPr>
              <w:pStyle w:val="Bold"/>
            </w:pPr>
            <w:r w:rsidRPr="00E60CBB">
              <w:t>Dose–Response Relationship</w:t>
            </w:r>
          </w:p>
        </w:tc>
        <w:tc>
          <w:tcPr>
            <w:tcW w:w="0" w:type="auto"/>
            <w:hideMark/>
          </w:tcPr>
          <w:p w14:paraId="39E8C63D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Typically assumed to be linear (more sessions produce greater benefit).</w:t>
            </w:r>
          </w:p>
        </w:tc>
        <w:tc>
          <w:tcPr>
            <w:tcW w:w="0" w:type="auto"/>
            <w:hideMark/>
          </w:tcPr>
          <w:p w14:paraId="3209EF72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Frequently non-linear, with diminishing returns after a certain level of engagement.</w:t>
            </w:r>
          </w:p>
        </w:tc>
      </w:tr>
      <w:tr w:rsidR="00E60CBB" w:rsidRPr="00E60CBB" w14:paraId="643B76B3" w14:textId="77777777" w:rsidTr="006370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81DFD8" w14:textId="77777777" w:rsidR="00E60CBB" w:rsidRPr="00E60CBB" w:rsidRDefault="00E60CBB" w:rsidP="00E60CBB">
            <w:pPr>
              <w:pStyle w:val="Bold"/>
            </w:pPr>
            <w:r w:rsidRPr="00E60CBB">
              <w:t>Adherence Concept</w:t>
            </w:r>
          </w:p>
        </w:tc>
        <w:tc>
          <w:tcPr>
            <w:tcW w:w="0" w:type="auto"/>
            <w:hideMark/>
          </w:tcPr>
          <w:p w14:paraId="2C7540EE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Attendance and session completion are primary indicators of adherence.</w:t>
            </w:r>
          </w:p>
        </w:tc>
        <w:tc>
          <w:tcPr>
            <w:tcW w:w="0" w:type="auto"/>
            <w:hideMark/>
          </w:tcPr>
          <w:p w14:paraId="2948ADAC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Adherence overlaps with engagement and exposure; includes both active (e.g., exercises completed) and passive (e.g., reading content) use.</w:t>
            </w:r>
          </w:p>
        </w:tc>
      </w:tr>
      <w:tr w:rsidR="00E60CBB" w:rsidRPr="00E60CBB" w14:paraId="16954E8C" w14:textId="77777777" w:rsidTr="006370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459B59" w14:textId="77777777" w:rsidR="00E60CBB" w:rsidRPr="00E60CBB" w:rsidRDefault="00E60CBB" w:rsidP="00E60CBB">
            <w:pPr>
              <w:pStyle w:val="Bold"/>
            </w:pPr>
            <w:r w:rsidRPr="00E60CBB">
              <w:t>Measurement Precision</w:t>
            </w:r>
          </w:p>
        </w:tc>
        <w:tc>
          <w:tcPr>
            <w:tcW w:w="0" w:type="auto"/>
            <w:hideMark/>
          </w:tcPr>
          <w:p w14:paraId="01659BDF" w14:textId="521685F2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Relies on attendance logs</w:t>
            </w:r>
            <w:r w:rsidR="00F04A71">
              <w:rPr>
                <w:rFonts w:asciiTheme="minorHAnsi" w:hAnsiTheme="minorHAnsi"/>
                <w:b w:val="0"/>
                <w:bCs w:val="0"/>
              </w:rPr>
              <w:t xml:space="preserve">, interventionist </w:t>
            </w:r>
            <w:r w:rsidRPr="00E60CBB">
              <w:rPr>
                <w:rFonts w:asciiTheme="minorHAnsi" w:hAnsiTheme="minorHAnsi"/>
                <w:b w:val="0"/>
                <w:bCs w:val="0"/>
              </w:rPr>
              <w:t>and participant self-report</w:t>
            </w:r>
            <w:r w:rsidR="00D96977">
              <w:rPr>
                <w:rFonts w:asciiTheme="minorHAnsi" w:hAnsiTheme="minorHAnsi"/>
                <w:b w:val="0"/>
                <w:bCs w:val="0"/>
              </w:rPr>
              <w:t xml:space="preserve"> of understanding and engagement</w:t>
            </w:r>
          </w:p>
        </w:tc>
        <w:tc>
          <w:tcPr>
            <w:tcW w:w="0" w:type="auto"/>
            <w:hideMark/>
          </w:tcPr>
          <w:p w14:paraId="32197B20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Automatically captured, high-resolution, objective usage data.</w:t>
            </w:r>
          </w:p>
        </w:tc>
      </w:tr>
      <w:tr w:rsidR="00E60CBB" w:rsidRPr="00E60CBB" w14:paraId="463B35C2" w14:textId="77777777" w:rsidTr="006370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F3209E" w14:textId="77777777" w:rsidR="00E60CBB" w:rsidRPr="00E60CBB" w:rsidRDefault="00E60CBB" w:rsidP="00E60CBB">
            <w:pPr>
              <w:pStyle w:val="Bold"/>
            </w:pPr>
            <w:r w:rsidRPr="00E60CBB">
              <w:t>Flexibility of Dose Delivery</w:t>
            </w:r>
          </w:p>
        </w:tc>
        <w:tc>
          <w:tcPr>
            <w:tcW w:w="0" w:type="auto"/>
            <w:hideMark/>
          </w:tcPr>
          <w:p w14:paraId="22374818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Fixed schedule and pacing with limited adaptability during delivery.</w:t>
            </w:r>
          </w:p>
        </w:tc>
        <w:tc>
          <w:tcPr>
            <w:tcW w:w="0" w:type="auto"/>
            <w:hideMark/>
          </w:tcPr>
          <w:p w14:paraId="3DD59829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Asynchronous and flexible; engagement patterns vary across time and users.</w:t>
            </w:r>
          </w:p>
        </w:tc>
      </w:tr>
      <w:tr w:rsidR="00E60CBB" w:rsidRPr="00E60CBB" w14:paraId="4906B263" w14:textId="77777777" w:rsidTr="006370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8A3DA6" w14:textId="77777777" w:rsidR="00E60CBB" w:rsidRPr="00E60CBB" w:rsidRDefault="00E60CBB" w:rsidP="00E60CBB">
            <w:pPr>
              <w:pStyle w:val="Bold"/>
            </w:pPr>
            <w:r w:rsidRPr="00E60CBB">
              <w:t>Fidelity vs. Engagement</w:t>
            </w:r>
          </w:p>
        </w:tc>
        <w:tc>
          <w:tcPr>
            <w:tcW w:w="0" w:type="auto"/>
            <w:hideMark/>
          </w:tcPr>
          <w:p w14:paraId="1A6BF1E8" w14:textId="7633B14E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Fidelity focuses on therapist adherence to the treatment protocol.</w:t>
            </w:r>
            <w:r w:rsidR="00393028">
              <w:rPr>
                <w:rFonts w:asciiTheme="minorHAnsi" w:hAnsiTheme="minorHAnsi"/>
                <w:b w:val="0"/>
                <w:bCs w:val="0"/>
              </w:rPr>
              <w:t xml:space="preserve"> Engagement focuses on participant receipt of intervention.</w:t>
            </w:r>
          </w:p>
        </w:tc>
        <w:tc>
          <w:tcPr>
            <w:tcW w:w="0" w:type="auto"/>
            <w:hideMark/>
          </w:tcPr>
          <w:p w14:paraId="3A2C1AA3" w14:textId="7B19A5E9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Fidelity emphasizes exposure to</w:t>
            </w:r>
            <w:r w:rsidR="0054049F">
              <w:rPr>
                <w:rFonts w:asciiTheme="minorHAnsi" w:hAnsiTheme="minorHAnsi"/>
                <w:b w:val="0"/>
                <w:bCs w:val="0"/>
              </w:rPr>
              <w:t xml:space="preserve"> and engagement with </w:t>
            </w:r>
            <w:r w:rsidRPr="00E60CBB">
              <w:rPr>
                <w:rFonts w:asciiTheme="minorHAnsi" w:hAnsiTheme="minorHAnsi"/>
                <w:b w:val="0"/>
                <w:bCs w:val="0"/>
              </w:rPr>
              <w:t>core components or “active ingredients” of the intervention.</w:t>
            </w:r>
          </w:p>
        </w:tc>
      </w:tr>
      <w:tr w:rsidR="00E60CBB" w:rsidRPr="00E60CBB" w14:paraId="1E1B254A" w14:textId="77777777" w:rsidTr="006370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F64B45" w14:textId="77777777" w:rsidR="00E60CBB" w:rsidRPr="00E60CBB" w:rsidRDefault="00E60CBB" w:rsidP="00E60CBB">
            <w:pPr>
              <w:pStyle w:val="Bold"/>
            </w:pPr>
            <w:r w:rsidRPr="00E60CBB">
              <w:lastRenderedPageBreak/>
              <w:t>Implications for Trial Design</w:t>
            </w:r>
          </w:p>
        </w:tc>
        <w:tc>
          <w:tcPr>
            <w:tcW w:w="0" w:type="auto"/>
            <w:hideMark/>
          </w:tcPr>
          <w:p w14:paraId="6AE27B3E" w14:textId="77777777" w:rsid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 xml:space="preserve">Dose </w:t>
            </w:r>
            <w:r w:rsidR="007F20BD">
              <w:rPr>
                <w:rFonts w:asciiTheme="minorHAnsi" w:hAnsiTheme="minorHAnsi"/>
                <w:b w:val="0"/>
                <w:bCs w:val="0"/>
              </w:rPr>
              <w:t xml:space="preserve">typically </w:t>
            </w:r>
            <w:r w:rsidRPr="00E60CBB">
              <w:rPr>
                <w:rFonts w:asciiTheme="minorHAnsi" w:hAnsiTheme="minorHAnsi"/>
                <w:b w:val="0"/>
                <w:bCs w:val="0"/>
              </w:rPr>
              <w:t xml:space="preserve">treated as </w:t>
            </w:r>
            <w:proofErr w:type="gramStart"/>
            <w:r w:rsidRPr="00E60CBB">
              <w:rPr>
                <w:rFonts w:asciiTheme="minorHAnsi" w:hAnsiTheme="minorHAnsi"/>
                <w:b w:val="0"/>
                <w:bCs w:val="0"/>
              </w:rPr>
              <w:t>fixed;</w:t>
            </w:r>
            <w:proofErr w:type="gramEnd"/>
            <w:r w:rsidRPr="00E60CBB">
              <w:rPr>
                <w:rFonts w:asciiTheme="minorHAnsi" w:hAnsiTheme="minorHAnsi"/>
                <w:b w:val="0"/>
                <w:bCs w:val="0"/>
              </w:rPr>
              <w:t xml:space="preserve"> limited opportunity for dose optimization within trials.</w:t>
            </w:r>
          </w:p>
          <w:p w14:paraId="23B25E99" w14:textId="53811E8B" w:rsidR="00503C33" w:rsidRPr="00E60CBB" w:rsidRDefault="00E8697A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>
              <w:rPr>
                <w:rFonts w:asciiTheme="minorHAnsi" w:hAnsiTheme="minorHAnsi"/>
                <w:b w:val="0"/>
                <w:bCs w:val="0"/>
              </w:rPr>
              <w:t>De</w:t>
            </w:r>
            <w:r w:rsidR="00F1347A">
              <w:rPr>
                <w:rFonts w:asciiTheme="minorHAnsi" w:hAnsiTheme="minorHAnsi"/>
                <w:b w:val="0"/>
                <w:bCs w:val="0"/>
              </w:rPr>
              <w:t xml:space="preserve">signs involving </w:t>
            </w:r>
            <w:r>
              <w:rPr>
                <w:rFonts w:asciiTheme="minorHAnsi" w:hAnsiTheme="minorHAnsi"/>
                <w:b w:val="0"/>
                <w:bCs w:val="0"/>
              </w:rPr>
              <w:t xml:space="preserve">adaptive dosing </w:t>
            </w:r>
            <w:r w:rsidR="00620FF4">
              <w:rPr>
                <w:rFonts w:asciiTheme="minorHAnsi" w:hAnsiTheme="minorHAnsi"/>
                <w:b w:val="0"/>
                <w:bCs w:val="0"/>
              </w:rPr>
              <w:t>systematically adjust dosing based on pre-specified criteria</w:t>
            </w:r>
          </w:p>
        </w:tc>
        <w:tc>
          <w:tcPr>
            <w:tcW w:w="0" w:type="auto"/>
            <w:hideMark/>
          </w:tcPr>
          <w:p w14:paraId="0CE3E6D5" w14:textId="77777777" w:rsidR="00E60CBB" w:rsidRPr="00E60CBB" w:rsidRDefault="00E60CBB" w:rsidP="00E60CBB">
            <w:pPr>
              <w:pStyle w:val="Bol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Enables adaptive designs, dose-finding analyses, and testing of minimum effective exposure.</w:t>
            </w:r>
          </w:p>
        </w:tc>
      </w:tr>
      <w:tr w:rsidR="00E60CBB" w:rsidRPr="00E60CBB" w14:paraId="16FB123A" w14:textId="77777777" w:rsidTr="006370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724C4C" w14:textId="77777777" w:rsidR="00E60CBB" w:rsidRPr="00E60CBB" w:rsidRDefault="00E60CBB" w:rsidP="00E60CBB">
            <w:pPr>
              <w:pStyle w:val="Bold"/>
            </w:pPr>
            <w:r w:rsidRPr="00E60CBB">
              <w:t>Participant Burden</w:t>
            </w:r>
          </w:p>
        </w:tc>
        <w:tc>
          <w:tcPr>
            <w:tcW w:w="0" w:type="auto"/>
            <w:hideMark/>
          </w:tcPr>
          <w:p w14:paraId="45E5ACDE" w14:textId="048D0CB3" w:rsidR="00E60CBB" w:rsidRPr="00E60CBB" w:rsidRDefault="00C94B46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>
              <w:rPr>
                <w:rFonts w:asciiTheme="minorHAnsi" w:hAnsiTheme="minorHAnsi"/>
                <w:b w:val="0"/>
                <w:bCs w:val="0"/>
              </w:rPr>
              <w:t>Greater time and scheduling burden associated with</w:t>
            </w:r>
            <w:r w:rsidR="00E60CBB" w:rsidRPr="00E60CBB">
              <w:rPr>
                <w:rFonts w:asciiTheme="minorHAnsi" w:hAnsiTheme="minorHAnsi"/>
                <w:b w:val="0"/>
                <w:bCs w:val="0"/>
              </w:rPr>
              <w:t xml:space="preserve"> in-person or synchronous sessions.</w:t>
            </w:r>
          </w:p>
        </w:tc>
        <w:tc>
          <w:tcPr>
            <w:tcW w:w="0" w:type="auto"/>
            <w:hideMark/>
          </w:tcPr>
          <w:p w14:paraId="17258F67" w14:textId="77777777" w:rsidR="00E60CBB" w:rsidRPr="00E60CBB" w:rsidRDefault="00E60CBB" w:rsidP="00E60CBB">
            <w:pPr>
              <w:pStyle w:val="Bol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</w:rPr>
            </w:pPr>
            <w:r w:rsidRPr="00E60CBB">
              <w:rPr>
                <w:rFonts w:asciiTheme="minorHAnsi" w:hAnsiTheme="minorHAnsi"/>
                <w:b w:val="0"/>
                <w:bCs w:val="0"/>
              </w:rPr>
              <w:t>Lower burden; meaningful benefit may be achieved with brief or intermittent use.</w:t>
            </w:r>
          </w:p>
        </w:tc>
      </w:tr>
    </w:tbl>
    <w:p w14:paraId="38F6EA33" w14:textId="5B1B96CD" w:rsidR="00E60CBB" w:rsidRPr="00E60CBB" w:rsidRDefault="00000000" w:rsidP="00E60CBB">
      <w:pPr>
        <w:pStyle w:val="Bold"/>
      </w:pPr>
      <w:r>
        <w:rPr>
          <w:noProof/>
          <w14:ligatures w14:val="standardContextual"/>
        </w:rPr>
        <w:pict w14:anchorId="68ACD872">
          <v:rect id="_x0000_i1025" alt="" style="width:496.8pt;height:1pt;mso-width-percent:0;mso-height-percent:0;mso-width-percent:0;mso-height-percent:0" o:hralign="center" o:hrstd="t" o:hr="t" fillcolor="#a0a0a0" stroked="f"/>
        </w:pict>
      </w:r>
    </w:p>
    <w:p w14:paraId="3409B88E" w14:textId="77777777" w:rsidR="009B3A05" w:rsidRDefault="009B3A05" w:rsidP="003C44A7">
      <w:pPr>
        <w:pStyle w:val="Bold"/>
      </w:pPr>
    </w:p>
    <w:p w14:paraId="54782833" w14:textId="367167AE" w:rsidR="00E14577" w:rsidRPr="00DA457B" w:rsidRDefault="008D2276" w:rsidP="00D41196">
      <w:pPr>
        <w:pStyle w:val="Heading2"/>
      </w:pPr>
      <w:r>
        <w:t>Steps in Determining Dose for a Behavioral Intervention</w:t>
      </w:r>
    </w:p>
    <w:p w14:paraId="4F826436" w14:textId="77777777" w:rsidR="00755F51" w:rsidRDefault="00755F51" w:rsidP="00755F51">
      <w:r>
        <w:t>• Clarify the Mechanism of Action: Identify which processes drive change (e.g., skills acquisition, habit formation). Align dose to mechanism.</w:t>
      </w:r>
    </w:p>
    <w:p w14:paraId="584B3D96" w14:textId="77777777" w:rsidR="00755F51" w:rsidRDefault="00755F51" w:rsidP="00755F51">
      <w:r>
        <w:t>• Draw from Prior Evidence: Review similar interventions’ dose parameters and pilot data to guide design.</w:t>
      </w:r>
    </w:p>
    <w:p w14:paraId="598698C1" w14:textId="3F904749" w:rsidR="00755F51" w:rsidRDefault="00755F51" w:rsidP="00755F51">
      <w:r>
        <w:t xml:space="preserve">• Balance Scientific and Practical Constraints: Higher dose may increase </w:t>
      </w:r>
      <w:r w:rsidR="00887CF7">
        <w:t>efficacy but</w:t>
      </w:r>
      <w:r>
        <w:t xml:space="preserve"> reduce adherence or feasibility.</w:t>
      </w:r>
    </w:p>
    <w:p w14:paraId="1B9F0838" w14:textId="77777777" w:rsidR="00755F51" w:rsidRDefault="00755F51" w:rsidP="00755F51">
      <w:r>
        <w:t>• Pilot Test the Dose: Conduct feasibility or optimization studies (e.g., MOST, SMART) to identify the minimal effective dose.</w:t>
      </w:r>
    </w:p>
    <w:p w14:paraId="3F0B1998" w14:textId="77777777" w:rsidR="00755F51" w:rsidRDefault="00755F51" w:rsidP="00755F51">
      <w:r>
        <w:t>• Operationalize Dose Metrics: Specify frequency, duration, intensity, delivery mode, and tailoring criteria.</w:t>
      </w:r>
    </w:p>
    <w:p w14:paraId="27E1C079" w14:textId="77777777" w:rsidR="00755F51" w:rsidRDefault="00755F51" w:rsidP="00755F51">
      <w:r>
        <w:t>• Monitor and Report Fidelity: Track both dose delivered and dose received throughout implementation.</w:t>
      </w:r>
    </w:p>
    <w:p w14:paraId="49467642" w14:textId="77777777" w:rsidR="008D2276" w:rsidRDefault="008D2276"/>
    <w:p w14:paraId="779C1085" w14:textId="77777777" w:rsidR="001334E3" w:rsidRDefault="001334E3">
      <w:pPr>
        <w:spacing w:before="0" w:after="160" w:line="278" w:lineRule="auto"/>
        <w:rPr>
          <w:rFonts w:asciiTheme="majorHAnsi" w:hAnsiTheme="majorHAnsi"/>
          <w:b/>
          <w:bCs/>
          <w:noProof/>
          <w:szCs w:val="40"/>
        </w:rPr>
      </w:pPr>
      <w:r>
        <w:br w:type="page"/>
      </w:r>
    </w:p>
    <w:p w14:paraId="1C388969" w14:textId="69803C74" w:rsidR="008D2276" w:rsidRPr="00DA457B" w:rsidRDefault="00755F51" w:rsidP="008D2276">
      <w:pPr>
        <w:pStyle w:val="Heading2"/>
      </w:pPr>
      <w:r>
        <w:lastRenderedPageBreak/>
        <w:t>Reporting and Interpreting Dose in Publications</w:t>
      </w:r>
    </w:p>
    <w:p w14:paraId="096FFD58" w14:textId="788D6176" w:rsidR="00412147" w:rsidRPr="00E13C64" w:rsidRDefault="00412147" w:rsidP="00412147">
      <w:pPr>
        <w:rPr>
          <w:vertAlign w:val="superscript"/>
        </w:rPr>
      </w:pPr>
      <w:r>
        <w:t>Gitlin &amp; Czaja recommend transparent reporting of planned dose, delivered dose, received dose, dose–response findings, and dose optimization process.</w:t>
      </w:r>
      <w:r w:rsidR="00E13C64">
        <w:rPr>
          <w:vertAlign w:val="superscript"/>
        </w:rPr>
        <w:t>6,7</w:t>
      </w:r>
    </w:p>
    <w:p w14:paraId="2856CEFE" w14:textId="77777777" w:rsidR="00412147" w:rsidRDefault="00412147" w:rsidP="00412147">
      <w:r>
        <w:t>Common pitfalls include:</w:t>
      </w:r>
    </w:p>
    <w:p w14:paraId="254FBEB1" w14:textId="77777777" w:rsidR="00412147" w:rsidRDefault="00412147" w:rsidP="00412147">
      <w:r>
        <w:t>• Treating dose as static when the intervention is adaptive.</w:t>
      </w:r>
    </w:p>
    <w:p w14:paraId="7F534CA9" w14:textId="77777777" w:rsidR="00412147" w:rsidRDefault="00412147" w:rsidP="00412147">
      <w:r>
        <w:t>• Reporting only the number of sessions, not total time or engagement.</w:t>
      </w:r>
    </w:p>
    <w:p w14:paraId="39B0F0B9" w14:textId="77777777" w:rsidR="00412147" w:rsidRDefault="00412147" w:rsidP="00412147">
      <w:r>
        <w:t>• Failing to link dose to mechanisms or mediators.</w:t>
      </w:r>
    </w:p>
    <w:p w14:paraId="540FB077" w14:textId="77777777" w:rsidR="00412147" w:rsidRDefault="00412147" w:rsidP="00412147">
      <w:r>
        <w:t>• Ignoring participant-level variation in dose received.</w:t>
      </w:r>
    </w:p>
    <w:p w14:paraId="67DB477B" w14:textId="77777777" w:rsidR="001334E3" w:rsidRDefault="001334E3" w:rsidP="00412147"/>
    <w:p w14:paraId="5B82C0DB" w14:textId="670A7465" w:rsidR="008D2276" w:rsidRPr="00DA457B" w:rsidRDefault="009A6A52" w:rsidP="008D2276">
      <w:pPr>
        <w:pStyle w:val="Heading2"/>
      </w:pPr>
      <w:r>
        <w:t>Summary: Characteristic of a Well-Specified Dose</w:t>
      </w:r>
    </w:p>
    <w:p w14:paraId="5AFE27B8" w14:textId="77777777" w:rsidR="009A6A52" w:rsidRDefault="009A6A52" w:rsidP="009A6A52">
      <w:r>
        <w:t>A behavioral intervention’s dose is:</w:t>
      </w:r>
    </w:p>
    <w:p w14:paraId="6346A308" w14:textId="77777777" w:rsidR="009A6A52" w:rsidRDefault="009A6A52" w:rsidP="009A6A52">
      <w:r>
        <w:t>✅ Explicitly defined (frequency, duration, intensity).</w:t>
      </w:r>
    </w:p>
    <w:p w14:paraId="27E962B1" w14:textId="7AE427A7" w:rsidR="009A6A52" w:rsidRDefault="009A6A52" w:rsidP="009A6A52">
      <w:r>
        <w:t xml:space="preserve">✅ Linked to </w:t>
      </w:r>
      <w:r w:rsidR="00E3770B">
        <w:t xml:space="preserve">a </w:t>
      </w:r>
      <w:r>
        <w:t>theoretical mechanism of action.</w:t>
      </w:r>
    </w:p>
    <w:p w14:paraId="3F7BF2A6" w14:textId="77777777" w:rsidR="009A6A52" w:rsidRDefault="009A6A52" w:rsidP="009A6A52">
      <w:r>
        <w:t>✅ Feasible for delivery and engagement.</w:t>
      </w:r>
    </w:p>
    <w:p w14:paraId="111895B0" w14:textId="77777777" w:rsidR="009A6A52" w:rsidRDefault="009A6A52" w:rsidP="009A6A52">
      <w:r>
        <w:t>✅ Monitored for fidelity and variation.</w:t>
      </w:r>
    </w:p>
    <w:p w14:paraId="77332A12" w14:textId="77777777" w:rsidR="009A6A52" w:rsidRDefault="009A6A52" w:rsidP="009A6A52">
      <w:r>
        <w:t>✅ Reported transparently with rationale.</w:t>
      </w:r>
    </w:p>
    <w:p w14:paraId="066CB7AF" w14:textId="77777777" w:rsidR="001334E3" w:rsidRDefault="001334E3" w:rsidP="009A6A52"/>
    <w:p w14:paraId="6232FB54" w14:textId="77777777" w:rsidR="00CE369A" w:rsidRDefault="00CE369A">
      <w:pPr>
        <w:spacing w:before="0" w:after="160" w:line="278" w:lineRule="auto"/>
        <w:rPr>
          <w:rFonts w:asciiTheme="majorHAnsi" w:hAnsiTheme="majorHAnsi"/>
          <w:b/>
          <w:bCs/>
          <w:noProof/>
          <w:szCs w:val="40"/>
        </w:rPr>
      </w:pPr>
      <w:r>
        <w:br w:type="page"/>
      </w:r>
    </w:p>
    <w:p w14:paraId="7B8AC332" w14:textId="1EC12EEE" w:rsidR="00F147BA" w:rsidRPr="00F147BA" w:rsidRDefault="000A686D" w:rsidP="00CC354B">
      <w:pPr>
        <w:pStyle w:val="Heading2"/>
        <w:jc w:val="center"/>
      </w:pPr>
      <w:r>
        <w:lastRenderedPageBreak/>
        <w:t>References</w:t>
      </w:r>
    </w:p>
    <w:p w14:paraId="156F57FE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Bing A, Spiegelman D, Nevo D, Lok JJ. Learn-as-you-GO (LAGO) trials: optimizing treatments and preventing trial failure through ongoing learning. </w:t>
      </w:r>
      <w:r w:rsidRPr="00CC354B">
        <w:rPr>
          <w:i/>
          <w:iCs/>
        </w:rPr>
        <w:t>Biometrics</w:t>
      </w:r>
      <w:r w:rsidRPr="00F147BA">
        <w:t>. 2025;81(2):ujaf061.</w:t>
      </w:r>
    </w:p>
    <w:p w14:paraId="6B8F6471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Collins LM, Murphy SA, </w:t>
      </w:r>
      <w:proofErr w:type="spellStart"/>
      <w:r w:rsidRPr="00F147BA">
        <w:t>Strecher</w:t>
      </w:r>
      <w:proofErr w:type="spellEnd"/>
      <w:r w:rsidRPr="00F147BA">
        <w:t xml:space="preserve"> V. The multiphase optimization strategy (MOST) and the sequential multiple assignment randomized trial (SMART): new methods for more potent eHealth interventions. </w:t>
      </w:r>
      <w:proofErr w:type="gramStart"/>
      <w:r w:rsidRPr="00CC354B">
        <w:rPr>
          <w:i/>
          <w:iCs/>
        </w:rPr>
        <w:t>Am</w:t>
      </w:r>
      <w:proofErr w:type="gramEnd"/>
      <w:r w:rsidRPr="00CC354B">
        <w:rPr>
          <w:i/>
          <w:iCs/>
        </w:rPr>
        <w:t xml:space="preserve"> J Prev Med</w:t>
      </w:r>
      <w:r w:rsidRPr="00F147BA">
        <w:t>. 2007;32(5 suppl):S112-S118.</w:t>
      </w:r>
    </w:p>
    <w:p w14:paraId="770D3397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Diaz KM, Murdock ME, Clark AW, et al. Breaking up prolonged sedentary behavior to improve cardiometabolic health (BREAK2): protocol for a dose-finding adaptive randomization trial. </w:t>
      </w:r>
      <w:r w:rsidRPr="00CC354B">
        <w:rPr>
          <w:i/>
          <w:iCs/>
        </w:rPr>
        <w:t>BMC Public Health</w:t>
      </w:r>
      <w:r w:rsidRPr="00F147BA">
        <w:t>. 2025;25(1):1929. doi:10.1186/s12889-025-22250-0</w:t>
      </w:r>
    </w:p>
    <w:p w14:paraId="50812177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Forbes A, Keleher MR, Venditto M, DiBiasi F. Assessing patient adherence to and engagement with digital interventions for depression in clinical trials: systematic literature review. </w:t>
      </w:r>
      <w:r w:rsidRPr="00CC354B">
        <w:rPr>
          <w:i/>
          <w:iCs/>
        </w:rPr>
        <w:t>J Med Internet Res</w:t>
      </w:r>
      <w:r w:rsidRPr="00F147BA">
        <w:t>. 2023;25:e43727.</w:t>
      </w:r>
    </w:p>
    <w:p w14:paraId="04EDA495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proofErr w:type="spellStart"/>
      <w:r w:rsidRPr="00F147BA">
        <w:t>Gibbor</w:t>
      </w:r>
      <w:proofErr w:type="spellEnd"/>
      <w:r w:rsidRPr="00F147BA">
        <w:t xml:space="preserve"> L, Yates L, Volkmer A, Spector A. Cognitive stimulation therapy (CST) for dementia: a systematic review of qualitative research. </w:t>
      </w:r>
      <w:r w:rsidRPr="00CC354B">
        <w:rPr>
          <w:i/>
          <w:iCs/>
        </w:rPr>
        <w:t>Aging Ment Health</w:t>
      </w:r>
      <w:r w:rsidRPr="00F147BA">
        <w:t>. 2021;25(6):980-990. doi:10.1080/13607863.2020.1746741</w:t>
      </w:r>
    </w:p>
    <w:p w14:paraId="2BCF8D25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Gitlin LN, Czaja SJ. </w:t>
      </w:r>
      <w:r w:rsidRPr="00CC354B">
        <w:rPr>
          <w:i/>
          <w:iCs/>
        </w:rPr>
        <w:t>Behavioral Intervention Research: Designing, Evaluating, and Implementing</w:t>
      </w:r>
      <w:r w:rsidRPr="00F147BA">
        <w:t>. Springer Publishing Company; 2016.</w:t>
      </w:r>
    </w:p>
    <w:p w14:paraId="546693F0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Gitlin LN, Czaja SJ. </w:t>
      </w:r>
      <w:r w:rsidRPr="00CC354B">
        <w:rPr>
          <w:i/>
          <w:iCs/>
        </w:rPr>
        <w:t>Handbook of Intervention Science: From Design to Implementation</w:t>
      </w:r>
      <w:r w:rsidRPr="00F147BA">
        <w:t>. Academic Press; 2025.</w:t>
      </w:r>
    </w:p>
    <w:p w14:paraId="7E4653AC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Kidwell KM, Almirall D. Sequential, multiple assignment, randomized trial designs. </w:t>
      </w:r>
      <w:r w:rsidRPr="00CC354B">
        <w:rPr>
          <w:i/>
          <w:iCs/>
        </w:rPr>
        <w:t>JAMA</w:t>
      </w:r>
      <w:r w:rsidRPr="00F147BA">
        <w:t>. 2023;329(4):336-337. doi:10.1001/jama.2022.24324</w:t>
      </w:r>
    </w:p>
    <w:p w14:paraId="6B04E67E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Leung P. People’s experiences of cognitive stimulation therapy: a qualitative understanding. In: </w:t>
      </w:r>
      <w:r w:rsidRPr="00CC354B">
        <w:rPr>
          <w:i/>
          <w:iCs/>
        </w:rPr>
        <w:t>Cognitive Stimulation Therapy for Dementia</w:t>
      </w:r>
      <w:r w:rsidRPr="00F147BA">
        <w:t>. Routledge; 2017:131-151.</w:t>
      </w:r>
    </w:p>
    <w:p w14:paraId="360B571A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Lu SC, Xu M, Wang M, et al. Effectiveness and minimum effective dose of app-based mobile health interventions for anxiety and depression symptom reduction: systematic review and meta-analysis. </w:t>
      </w:r>
      <w:r w:rsidRPr="00CC354B">
        <w:rPr>
          <w:i/>
          <w:iCs/>
        </w:rPr>
        <w:t>JMIR Ment Health</w:t>
      </w:r>
      <w:r w:rsidRPr="00F147BA">
        <w:t>. 2022;9(9):e39454.</w:t>
      </w:r>
    </w:p>
    <w:p w14:paraId="6C194680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McVay MA, Bennett GG, Steinberg D, Voils CI. Dose-response research in digital health interventions: concepts, considerations, and challenges. </w:t>
      </w:r>
      <w:r w:rsidRPr="00CC354B">
        <w:rPr>
          <w:i/>
          <w:iCs/>
        </w:rPr>
        <w:t>Health Psychol</w:t>
      </w:r>
      <w:r w:rsidRPr="00F147BA">
        <w:t>. 2019;38(12):1168-1174. doi:10.1037/hea0000805</w:t>
      </w:r>
    </w:p>
    <w:p w14:paraId="20B29656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Orfanos S, </w:t>
      </w:r>
      <w:proofErr w:type="spellStart"/>
      <w:r w:rsidRPr="00F147BA">
        <w:t>Gibbor</w:t>
      </w:r>
      <w:proofErr w:type="spellEnd"/>
      <w:r w:rsidRPr="00F147BA">
        <w:t xml:space="preserve"> L, Carr C, Spector A. Group-based cognitive stimulation therapy for dementia: a qualitative study on experiences of group interactions. </w:t>
      </w:r>
      <w:r w:rsidRPr="00CC354B">
        <w:rPr>
          <w:i/>
          <w:iCs/>
        </w:rPr>
        <w:t>Aging Ment Health</w:t>
      </w:r>
      <w:r w:rsidRPr="00F147BA">
        <w:t>. 2021;25(6):991-998. doi:10.1080/13607863.2020.1746740</w:t>
      </w:r>
    </w:p>
    <w:p w14:paraId="7E3E2234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Spector A, Orrell M, Woods B. Cognitive stimulation therapy (CST): effects on different areas of cognitive function for people with dementia. </w:t>
      </w:r>
      <w:r w:rsidRPr="00CC354B">
        <w:rPr>
          <w:i/>
          <w:iCs/>
        </w:rPr>
        <w:t xml:space="preserve">Int J </w:t>
      </w:r>
      <w:proofErr w:type="spellStart"/>
      <w:r w:rsidRPr="00CC354B">
        <w:rPr>
          <w:i/>
          <w:iCs/>
        </w:rPr>
        <w:t>Geriatr</w:t>
      </w:r>
      <w:proofErr w:type="spellEnd"/>
      <w:r w:rsidRPr="00CC354B">
        <w:rPr>
          <w:i/>
          <w:iCs/>
        </w:rPr>
        <w:t xml:space="preserve"> Psychiatry</w:t>
      </w:r>
      <w:r w:rsidRPr="00F147BA">
        <w:t>. 2010;25(12):1253-1258. doi:10.1002/gps.2464</w:t>
      </w:r>
    </w:p>
    <w:p w14:paraId="30B3113D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lastRenderedPageBreak/>
        <w:t xml:space="preserve">Tang VFY, Jiang D, Kwok JYY, et al. Study protocol of a sequential, multiple assignment, </w:t>
      </w:r>
      <w:proofErr w:type="spellStart"/>
      <w:r w:rsidRPr="00F147BA">
        <w:t>randomised</w:t>
      </w:r>
      <w:proofErr w:type="spellEnd"/>
      <w:r w:rsidRPr="00F147BA">
        <w:t xml:space="preserve"> trial using an adaptive intervention to reduce loneliness among Chinese older adults in Hong Kong. </w:t>
      </w:r>
      <w:r w:rsidRPr="00CC354B">
        <w:rPr>
          <w:i/>
          <w:iCs/>
        </w:rPr>
        <w:t>BMJ Open</w:t>
      </w:r>
      <w:r w:rsidRPr="00F147BA">
        <w:t>. 2024;14(8):e087245.</w:t>
      </w:r>
    </w:p>
    <w:p w14:paraId="60A91DCF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Voils CI, King HA, Maciejewski ML, Allen KD, Yancy WS Jr, Shaffer JA. Approaches for informing optimal dose of behavioral interventions. </w:t>
      </w:r>
      <w:r w:rsidRPr="00CC354B">
        <w:rPr>
          <w:i/>
          <w:iCs/>
        </w:rPr>
        <w:t>Ann Behav Med</w:t>
      </w:r>
      <w:r w:rsidRPr="00F147BA">
        <w:t>. 2014;48(3):392-401. doi:10.1007/s12160-014-9618-7</w:t>
      </w:r>
    </w:p>
    <w:p w14:paraId="52E9876F" w14:textId="77777777" w:rsidR="00F147BA" w:rsidRPr="00F147BA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Woods B, Rai HK, Elliott E, Aguirre E, Orrell M, Spector A. Cognitive stimulation to improve cognitive functioning in people with dementia. </w:t>
      </w:r>
      <w:r w:rsidRPr="00CC354B">
        <w:rPr>
          <w:i/>
          <w:iCs/>
        </w:rPr>
        <w:t>Cochrane Database Syst Rev</w:t>
      </w:r>
      <w:r w:rsidRPr="00F147BA">
        <w:t>. 2023;(1):CD005562. doi:10.1002/14651858.CD005562.pub3</w:t>
      </w:r>
    </w:p>
    <w:p w14:paraId="1985B918" w14:textId="6D5A38C5" w:rsidR="004B63F3" w:rsidRDefault="00F147BA" w:rsidP="00CC354B">
      <w:pPr>
        <w:pStyle w:val="ListParagraph"/>
        <w:numPr>
          <w:ilvl w:val="0"/>
          <w:numId w:val="6"/>
        </w:numPr>
      </w:pPr>
      <w:r w:rsidRPr="00F147BA">
        <w:t xml:space="preserve">Wyrick DL, Rulison KL, Fearnow-Kenney M, Milroy JJ, Collins LM. Moving beyond the treatment package approach to developing behavioral interventions: addressing questions that arose during an application of the multiphase optimization strategy (MOST). </w:t>
      </w:r>
      <w:proofErr w:type="spellStart"/>
      <w:r w:rsidRPr="00CC354B">
        <w:rPr>
          <w:i/>
          <w:iCs/>
        </w:rPr>
        <w:t>Transl</w:t>
      </w:r>
      <w:proofErr w:type="spellEnd"/>
      <w:r w:rsidRPr="00CC354B">
        <w:rPr>
          <w:i/>
          <w:iCs/>
        </w:rPr>
        <w:t xml:space="preserve"> Behav Med</w:t>
      </w:r>
      <w:r w:rsidRPr="00F147BA">
        <w:t>. 2014;4(3):252-259. doi:10.1007/s13142-013-0247-7</w:t>
      </w:r>
    </w:p>
    <w:p w14:paraId="69E1F31D" w14:textId="77777777" w:rsidR="008D2276" w:rsidRDefault="008D2276"/>
    <w:sectPr w:rsidR="008D2276" w:rsidSect="00A73656">
      <w:pgSz w:w="12240" w:h="15840" w:code="1"/>
      <w:pgMar w:top="1440" w:right="1152" w:bottom="720" w:left="1152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D8B31" w14:textId="77777777" w:rsidR="004A53AF" w:rsidRDefault="004A53AF" w:rsidP="00E14577">
      <w:pPr>
        <w:spacing w:before="0" w:line="240" w:lineRule="auto"/>
      </w:pPr>
      <w:r>
        <w:separator/>
      </w:r>
    </w:p>
  </w:endnote>
  <w:endnote w:type="continuationSeparator" w:id="0">
    <w:p w14:paraId="671E61AA" w14:textId="77777777" w:rsidR="004A53AF" w:rsidRDefault="004A53AF" w:rsidP="00E1457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2F4F3" w14:textId="77777777" w:rsidR="008A6801" w:rsidRDefault="008A6801" w:rsidP="00D30526">
    <w:pPr>
      <w:pStyle w:val="Footer"/>
      <w:ind w:firstLine="360"/>
      <w:jc w:val="cen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1312" behindDoc="1" locked="1" layoutInCell="1" allowOverlap="1" wp14:anchorId="0D4DBCE2" wp14:editId="689181D8">
              <wp:simplePos x="0" y="0"/>
              <wp:positionH relativeFrom="column">
                <wp:posOffset>-731520</wp:posOffset>
              </wp:positionH>
              <wp:positionV relativeFrom="page">
                <wp:posOffset>9420225</wp:posOffset>
              </wp:positionV>
              <wp:extent cx="7772400" cy="640080"/>
              <wp:effectExtent l="0" t="0" r="0" b="7620"/>
              <wp:wrapNone/>
              <wp:docPr id="1660517193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640080"/>
                      </a:xfrm>
                      <a:prstGeom prst="rect">
                        <a:avLst/>
                      </a:prstGeom>
                      <a:solidFill>
                        <a:srgbClr val="EB56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B5161" id="Rectangle 1" o:spid="_x0000_s1026" alt="&quot;&quot;" style="position:absolute;margin-left:-57.6pt;margin-top:741.75pt;width:612pt;height:50.4pt;z-index:-251655168;visibility:visible;mso-wrap-style:square;mso-width-percent:100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100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" fillcolor="#eb5613" stroked="f" strokeweight="1pt">
              <w10:wrap anchory="page"/>
              <w10:anchorlock/>
            </v:rect>
          </w:pict>
        </mc:Fallback>
      </mc:AlternateContent>
    </w:r>
  </w:p>
  <w:p w14:paraId="141CB5A8" w14:textId="43B41319" w:rsidR="00E14577" w:rsidRDefault="002D133E" w:rsidP="002D133E">
    <w:pPr>
      <w:pStyle w:val="Info"/>
      <w:framePr w:hSpace="0" w:wrap="auto" w:vAnchor="margin" w:hAnchor="text" w:yAlign="inline"/>
      <w:jc w:val="center"/>
    </w:pPr>
    <w:r w:rsidRPr="002D133E">
      <w:t>https://embraceroybal.wisc.edu/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F85BB" w14:textId="77777777" w:rsidR="004A53AF" w:rsidRDefault="004A53AF" w:rsidP="00E14577">
      <w:pPr>
        <w:spacing w:before="0" w:line="240" w:lineRule="auto"/>
      </w:pPr>
      <w:r>
        <w:separator/>
      </w:r>
    </w:p>
  </w:footnote>
  <w:footnote w:type="continuationSeparator" w:id="0">
    <w:p w14:paraId="5ABE7A88" w14:textId="77777777" w:rsidR="004A53AF" w:rsidRDefault="004A53AF" w:rsidP="00E14577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6455145"/>
      <w:docPartObj>
        <w:docPartGallery w:val="Page Numbers (Top of Page)"/>
        <w:docPartUnique/>
      </w:docPartObj>
    </w:sdtPr>
    <w:sdtContent>
      <w:p w14:paraId="59C74E84" w14:textId="51F4D43E" w:rsidR="00E14577" w:rsidRDefault="00E14577" w:rsidP="00A62354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A2CF8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E1C0AE6" w14:textId="77777777" w:rsidR="00E14577" w:rsidRDefault="00E14577" w:rsidP="00E14577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1513015"/>
      <w:docPartObj>
        <w:docPartGallery w:val="Page Numbers (Top of Page)"/>
        <w:docPartUnique/>
      </w:docPartObj>
    </w:sdtPr>
    <w:sdtContent>
      <w:p w14:paraId="7F537460" w14:textId="2971822C" w:rsidR="00E14577" w:rsidRDefault="002D133E" w:rsidP="00E14577">
        <w:pPr>
          <w:pStyle w:val="Footer"/>
          <w:rPr>
            <w:rStyle w:val="PageNumber"/>
          </w:rPr>
        </w:pPr>
        <w:r w:rsidRPr="002D133E">
          <w:rPr>
            <w:noProof/>
          </w:rPr>
          <w:drawing>
            <wp:anchor distT="0" distB="0" distL="114300" distR="114300" simplePos="0" relativeHeight="251663360" behindDoc="1" locked="0" layoutInCell="1" allowOverlap="1" wp14:anchorId="76A9C4FE" wp14:editId="032E6B3C">
              <wp:simplePos x="0" y="0"/>
              <wp:positionH relativeFrom="page">
                <wp:align>right</wp:align>
              </wp:positionH>
              <wp:positionV relativeFrom="paragraph">
                <wp:posOffset>-265982</wp:posOffset>
              </wp:positionV>
              <wp:extent cx="2318598" cy="966083"/>
              <wp:effectExtent l="0" t="0" r="0" b="0"/>
              <wp:wrapNone/>
              <wp:docPr id="1438939339" name="Content Placeholder 6" descr="EMBRACE logo in large orange text, with &quot;Establishing Mechanisims of Benefit to Reinforce the Alzheimer's Care Experience&quot; in smaller text below.">
                <a:extLst xmlns:a="http://schemas.openxmlformats.org/drawingml/2006/main">
                  <a:ext uri="{FF2B5EF4-FFF2-40B4-BE49-F238E27FC236}">
                    <a16:creationId xmlns:a16="http://schemas.microsoft.com/office/drawing/2014/main" id="{56036343-FFDC-13F5-E9EC-800FBA1A2C9D}"/>
                  </a:ext>
                </a:extLst>
              </wp:docPr>
              <wp:cNvGraphicFramePr>
                <a:graphicFrameLocks xmlns:a="http://schemas.openxmlformats.org/drawingml/2006/main" noGrp="1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38939339" name="Content Placeholder 6" descr="EMBRACE logo in large orange text, with &quot;Establishing Mechanisims of Benefit to Reinforce the Alzheimer's Care Experience&quot; in smaller text below.">
                        <a:extLst>
                          <a:ext uri="{FF2B5EF4-FFF2-40B4-BE49-F238E27FC236}">
                            <a16:creationId xmlns:a16="http://schemas.microsoft.com/office/drawing/2014/main" id="{56036343-FFDC-13F5-E9EC-800FBA1A2C9D}"/>
                          </a:ext>
                        </a:extLst>
                      </pic:cNvPr>
                      <pic:cNvPicPr>
                        <a:picLocks noGrp="1"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18598" cy="96608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E14577">
          <w:rPr>
            <w:noProof/>
            <w14:ligatures w14:val="standardContextual"/>
          </w:rPr>
          <mc:AlternateContent>
            <mc:Choice Requires="wps">
              <w:drawing>
                <wp:anchor distT="0" distB="0" distL="114300" distR="114300" simplePos="0" relativeHeight="251659264" behindDoc="1" locked="1" layoutInCell="1" allowOverlap="1" wp14:anchorId="371406D2" wp14:editId="189DDE0A">
                  <wp:simplePos x="0" y="0"/>
                  <wp:positionH relativeFrom="column">
                    <wp:posOffset>-914400</wp:posOffset>
                  </wp:positionH>
                  <wp:positionV relativeFrom="paragraph">
                    <wp:posOffset>-265430</wp:posOffset>
                  </wp:positionV>
                  <wp:extent cx="1700784" cy="640080"/>
                  <wp:effectExtent l="0" t="0" r="0" b="7620"/>
                  <wp:wrapNone/>
                  <wp:docPr id="1130146015" name="Rectangle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700784" cy="640080"/>
                          </a:xfrm>
                          <a:prstGeom prst="rect">
                            <a:avLst/>
                          </a:prstGeom>
                          <a:solidFill>
                            <a:srgbClr val="EB561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477F9A05" id="Rectangle 1" o:spid="_x0000_s1026" alt="&quot;&quot;" style="position:absolute;margin-left:-1in;margin-top:-20.9pt;width:133.9pt;height:50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" fillcolor="#eb5613" stroked="f" strokeweight="1pt">
                  <w10:anchorlock/>
                </v:rect>
              </w:pict>
            </mc:Fallback>
          </mc:AlternateContent>
        </w:r>
        <w:r w:rsidR="00E14577">
          <w:rPr>
            <w:rStyle w:val="PageNumber"/>
          </w:rPr>
          <w:fldChar w:fldCharType="begin"/>
        </w:r>
        <w:r w:rsidR="00E14577">
          <w:rPr>
            <w:rStyle w:val="PageNumber"/>
          </w:rPr>
          <w:instrText xml:space="preserve"> PAGE </w:instrText>
        </w:r>
        <w:r w:rsidR="00E14577">
          <w:rPr>
            <w:rStyle w:val="PageNumber"/>
          </w:rPr>
          <w:fldChar w:fldCharType="separate"/>
        </w:r>
        <w:r w:rsidR="00E14577">
          <w:rPr>
            <w:rStyle w:val="PageNumber"/>
            <w:noProof/>
          </w:rPr>
          <w:t>1</w:t>
        </w:r>
        <w:r w:rsidR="00E14577">
          <w:rPr>
            <w:rStyle w:val="PageNumber"/>
          </w:rPr>
          <w:fldChar w:fldCharType="end"/>
        </w:r>
      </w:p>
    </w:sdtContent>
  </w:sdt>
  <w:p w14:paraId="3FA48E45" w14:textId="21F75B2D" w:rsidR="00E14577" w:rsidRDefault="00E14577" w:rsidP="00E14577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5DE66A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B95189"/>
    <w:multiLevelType w:val="hybridMultilevel"/>
    <w:tmpl w:val="91F62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F2F5A"/>
    <w:multiLevelType w:val="hybridMultilevel"/>
    <w:tmpl w:val="B0809700"/>
    <w:lvl w:ilvl="0" w:tplc="D0F03F6E">
      <w:start w:val="21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0299A"/>
    <w:multiLevelType w:val="multilevel"/>
    <w:tmpl w:val="800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3D2742"/>
    <w:multiLevelType w:val="multilevel"/>
    <w:tmpl w:val="B2CE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FC59DC"/>
    <w:multiLevelType w:val="multilevel"/>
    <w:tmpl w:val="9BD0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7405310">
    <w:abstractNumId w:val="5"/>
  </w:num>
  <w:num w:numId="2" w16cid:durableId="1276593716">
    <w:abstractNumId w:val="0"/>
  </w:num>
  <w:num w:numId="3" w16cid:durableId="1016082784">
    <w:abstractNumId w:val="2"/>
  </w:num>
  <w:num w:numId="4" w16cid:durableId="1093553923">
    <w:abstractNumId w:val="4"/>
  </w:num>
  <w:num w:numId="5" w16cid:durableId="761296320">
    <w:abstractNumId w:val="3"/>
  </w:num>
  <w:num w:numId="6" w16cid:durableId="232080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33E"/>
    <w:rsid w:val="00001BC6"/>
    <w:rsid w:val="00056AF9"/>
    <w:rsid w:val="00060A47"/>
    <w:rsid w:val="000701FA"/>
    <w:rsid w:val="000A686D"/>
    <w:rsid w:val="000E1585"/>
    <w:rsid w:val="00113F44"/>
    <w:rsid w:val="001334E3"/>
    <w:rsid w:val="00152C33"/>
    <w:rsid w:val="001641ED"/>
    <w:rsid w:val="001816EE"/>
    <w:rsid w:val="00187C41"/>
    <w:rsid w:val="001E3FFD"/>
    <w:rsid w:val="00204FDA"/>
    <w:rsid w:val="0025158E"/>
    <w:rsid w:val="00251A41"/>
    <w:rsid w:val="00267AF5"/>
    <w:rsid w:val="002766FA"/>
    <w:rsid w:val="0028061E"/>
    <w:rsid w:val="00281C35"/>
    <w:rsid w:val="002934AC"/>
    <w:rsid w:val="002A1D15"/>
    <w:rsid w:val="002A2CF8"/>
    <w:rsid w:val="002D133E"/>
    <w:rsid w:val="002D36C8"/>
    <w:rsid w:val="00363BF5"/>
    <w:rsid w:val="00380DD3"/>
    <w:rsid w:val="00393028"/>
    <w:rsid w:val="003A6EAA"/>
    <w:rsid w:val="003B42D1"/>
    <w:rsid w:val="003C1882"/>
    <w:rsid w:val="003C44A7"/>
    <w:rsid w:val="003F6D05"/>
    <w:rsid w:val="004025AB"/>
    <w:rsid w:val="00407EE1"/>
    <w:rsid w:val="00412147"/>
    <w:rsid w:val="00421A37"/>
    <w:rsid w:val="0047441A"/>
    <w:rsid w:val="004A53AF"/>
    <w:rsid w:val="004B63F3"/>
    <w:rsid w:val="004C6124"/>
    <w:rsid w:val="004C6DA0"/>
    <w:rsid w:val="00503C33"/>
    <w:rsid w:val="00512BBA"/>
    <w:rsid w:val="0052119A"/>
    <w:rsid w:val="00523A54"/>
    <w:rsid w:val="0054049F"/>
    <w:rsid w:val="00542955"/>
    <w:rsid w:val="005542AD"/>
    <w:rsid w:val="00563475"/>
    <w:rsid w:val="005867A0"/>
    <w:rsid w:val="005D2143"/>
    <w:rsid w:val="00611EB6"/>
    <w:rsid w:val="00620FF4"/>
    <w:rsid w:val="006256E2"/>
    <w:rsid w:val="00625E4F"/>
    <w:rsid w:val="00637076"/>
    <w:rsid w:val="006843C8"/>
    <w:rsid w:val="006A5E76"/>
    <w:rsid w:val="006B1ECB"/>
    <w:rsid w:val="006B23CC"/>
    <w:rsid w:val="006B2FC2"/>
    <w:rsid w:val="00704D73"/>
    <w:rsid w:val="00734EE5"/>
    <w:rsid w:val="00755F51"/>
    <w:rsid w:val="00762A60"/>
    <w:rsid w:val="00771A4A"/>
    <w:rsid w:val="0077342D"/>
    <w:rsid w:val="0077735F"/>
    <w:rsid w:val="00777383"/>
    <w:rsid w:val="00797982"/>
    <w:rsid w:val="007B7736"/>
    <w:rsid w:val="007E70EB"/>
    <w:rsid w:val="007F20BD"/>
    <w:rsid w:val="007F2A50"/>
    <w:rsid w:val="00806984"/>
    <w:rsid w:val="00807FE4"/>
    <w:rsid w:val="008628A3"/>
    <w:rsid w:val="00887CF7"/>
    <w:rsid w:val="008925E4"/>
    <w:rsid w:val="008927C0"/>
    <w:rsid w:val="008A5444"/>
    <w:rsid w:val="008A6801"/>
    <w:rsid w:val="008B38F5"/>
    <w:rsid w:val="008D2276"/>
    <w:rsid w:val="008D3879"/>
    <w:rsid w:val="008E22D4"/>
    <w:rsid w:val="008E5020"/>
    <w:rsid w:val="00931508"/>
    <w:rsid w:val="009406D9"/>
    <w:rsid w:val="009661A7"/>
    <w:rsid w:val="00983957"/>
    <w:rsid w:val="00983B2E"/>
    <w:rsid w:val="009A6A52"/>
    <w:rsid w:val="009B07AD"/>
    <w:rsid w:val="009B3A05"/>
    <w:rsid w:val="009C36B2"/>
    <w:rsid w:val="009D6230"/>
    <w:rsid w:val="009F3F73"/>
    <w:rsid w:val="00A039F4"/>
    <w:rsid w:val="00A0579B"/>
    <w:rsid w:val="00A33B91"/>
    <w:rsid w:val="00A47AD4"/>
    <w:rsid w:val="00A73656"/>
    <w:rsid w:val="00AA5C15"/>
    <w:rsid w:val="00AC4272"/>
    <w:rsid w:val="00AD0384"/>
    <w:rsid w:val="00AD2B76"/>
    <w:rsid w:val="00AD55FB"/>
    <w:rsid w:val="00AF330F"/>
    <w:rsid w:val="00B33326"/>
    <w:rsid w:val="00B561B6"/>
    <w:rsid w:val="00B62D04"/>
    <w:rsid w:val="00B65191"/>
    <w:rsid w:val="00B90FA7"/>
    <w:rsid w:val="00BD267F"/>
    <w:rsid w:val="00C24292"/>
    <w:rsid w:val="00C47271"/>
    <w:rsid w:val="00C94B46"/>
    <w:rsid w:val="00CC3375"/>
    <w:rsid w:val="00CC354B"/>
    <w:rsid w:val="00CE369A"/>
    <w:rsid w:val="00CF1539"/>
    <w:rsid w:val="00D30526"/>
    <w:rsid w:val="00D41196"/>
    <w:rsid w:val="00D8054D"/>
    <w:rsid w:val="00D81EA7"/>
    <w:rsid w:val="00D96977"/>
    <w:rsid w:val="00DB7B3F"/>
    <w:rsid w:val="00E13C64"/>
    <w:rsid w:val="00E14577"/>
    <w:rsid w:val="00E3770B"/>
    <w:rsid w:val="00E60CBB"/>
    <w:rsid w:val="00E8130F"/>
    <w:rsid w:val="00E85640"/>
    <w:rsid w:val="00E8697A"/>
    <w:rsid w:val="00EA3BDC"/>
    <w:rsid w:val="00EA5E9E"/>
    <w:rsid w:val="00EB153E"/>
    <w:rsid w:val="00EF350B"/>
    <w:rsid w:val="00F0485C"/>
    <w:rsid w:val="00F04A71"/>
    <w:rsid w:val="00F1347A"/>
    <w:rsid w:val="00F147BA"/>
    <w:rsid w:val="00F42756"/>
    <w:rsid w:val="00F60C16"/>
    <w:rsid w:val="00F62F58"/>
    <w:rsid w:val="00F944C0"/>
    <w:rsid w:val="00FA3C7A"/>
    <w:rsid w:val="00FB0D9C"/>
    <w:rsid w:val="00FD4665"/>
    <w:rsid w:val="00FE55C5"/>
    <w:rsid w:val="00FE7158"/>
    <w:rsid w:val="00FF05FA"/>
    <w:rsid w:val="00FF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C23C2"/>
  <w15:chartTrackingRefBased/>
  <w15:docId w15:val="{E2A975A7-BFE3-49AA-A53E-9F6B9BE4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196"/>
    <w:pPr>
      <w:spacing w:before="120" w:after="0" w:line="312" w:lineRule="auto"/>
    </w:pPr>
    <w:rPr>
      <w:rFonts w:eastAsiaTheme="minorEastAsia"/>
      <w:color w:val="000000" w:themeColor="text1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1196"/>
    <w:pPr>
      <w:keepNext/>
      <w:keepLines/>
      <w:framePr w:hSpace="180" w:wrap="around" w:vAnchor="page" w:hAnchor="margin" w:y="5119"/>
      <w:spacing w:before="360" w:after="80"/>
      <w:outlineLvl w:val="0"/>
    </w:pPr>
    <w:rPr>
      <w:rFonts w:asciiTheme="majorHAnsi" w:eastAsiaTheme="majorEastAsia" w:hAnsiTheme="majorHAnsi" w:cs="Times New Roman (Headings CS)"/>
      <w:b/>
      <w:caps/>
      <w:color w:val="FFFFFF" w:themeColor="background1"/>
      <w:sz w:val="52"/>
      <w:szCs w:val="40"/>
    </w:rPr>
  </w:style>
  <w:style w:type="paragraph" w:styleId="Heading2">
    <w:name w:val="heading 2"/>
    <w:basedOn w:val="Bold"/>
    <w:next w:val="Normal"/>
    <w:link w:val="Heading2Char"/>
    <w:uiPriority w:val="9"/>
    <w:unhideWhenUsed/>
    <w:qFormat/>
    <w:rsid w:val="00D41196"/>
    <w:pPr>
      <w:outlineLvl w:val="1"/>
    </w:pPr>
    <w:rPr>
      <w:noProof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577"/>
    <w:pPr>
      <w:keepNext/>
      <w:keepLines/>
      <w:spacing w:before="160" w:after="80"/>
      <w:outlineLvl w:val="2"/>
    </w:pPr>
    <w:rPr>
      <w:rFonts w:eastAsiaTheme="majorEastAsia" w:cstheme="majorBidi"/>
      <w:color w:val="039A6C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39A6C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577"/>
    <w:pPr>
      <w:keepNext/>
      <w:keepLines/>
      <w:spacing w:before="80" w:after="40"/>
      <w:outlineLvl w:val="4"/>
    </w:pPr>
    <w:rPr>
      <w:rFonts w:eastAsiaTheme="majorEastAsia" w:cstheme="majorBidi"/>
      <w:color w:val="039A6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5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5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5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5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196"/>
    <w:rPr>
      <w:rFonts w:asciiTheme="majorHAnsi" w:eastAsiaTheme="majorEastAsia" w:hAnsiTheme="majorHAnsi" w:cs="Times New Roman (Headings CS)"/>
      <w:b/>
      <w:caps/>
      <w:color w:val="FFFFFF" w:themeColor="background1"/>
      <w:kern w:val="0"/>
      <w:sz w:val="52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D41196"/>
    <w:rPr>
      <w:rFonts w:asciiTheme="majorHAnsi" w:eastAsiaTheme="minorEastAsia" w:hAnsiTheme="majorHAnsi"/>
      <w:b/>
      <w:bCs/>
      <w:noProof/>
      <w:color w:val="000000" w:themeColor="text1"/>
      <w:kern w:val="0"/>
      <w:szCs w:val="4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577"/>
    <w:rPr>
      <w:rFonts w:eastAsiaTheme="majorEastAsia" w:cstheme="majorBidi"/>
      <w:color w:val="039A6C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577"/>
    <w:rPr>
      <w:rFonts w:eastAsiaTheme="majorEastAsia" w:cstheme="majorBidi"/>
      <w:i/>
      <w:iCs/>
      <w:color w:val="039A6C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577"/>
    <w:rPr>
      <w:rFonts w:eastAsiaTheme="majorEastAsia" w:cstheme="majorBidi"/>
      <w:color w:val="039A6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5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5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5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5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D41196"/>
    <w:pPr>
      <w:spacing w:before="0" w:line="216" w:lineRule="auto"/>
      <w:contextualSpacing/>
    </w:pPr>
    <w:rPr>
      <w:rFonts w:eastAsiaTheme="majorEastAsia" w:cs="Times New Roman (Headings CS)"/>
      <w:b/>
      <w:caps/>
      <w:color w:val="auto"/>
      <w:spacing w:val="-10"/>
      <w:kern w:val="28"/>
      <w:sz w:val="9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"/>
    <w:rsid w:val="00D41196"/>
    <w:rPr>
      <w:rFonts w:eastAsiaTheme="majorEastAsia" w:cs="Times New Roman (Headings CS)"/>
      <w:b/>
      <w:caps/>
      <w:spacing w:val="-10"/>
      <w:kern w:val="28"/>
      <w:sz w:val="9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5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5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5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5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5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577"/>
    <w:rPr>
      <w:i/>
      <w:iCs/>
      <w:color w:val="039A6C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577"/>
    <w:pPr>
      <w:pBdr>
        <w:top w:val="single" w:sz="4" w:space="10" w:color="039A6C" w:themeColor="accent1" w:themeShade="BF"/>
        <w:bottom w:val="single" w:sz="4" w:space="10" w:color="039A6C" w:themeColor="accent1" w:themeShade="BF"/>
      </w:pBdr>
      <w:spacing w:before="360" w:after="360"/>
      <w:ind w:left="864" w:right="864"/>
      <w:jc w:val="center"/>
    </w:pPr>
    <w:rPr>
      <w:i/>
      <w:iCs/>
      <w:color w:val="039A6C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577"/>
    <w:rPr>
      <w:i/>
      <w:iCs/>
      <w:color w:val="039A6C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577"/>
    <w:rPr>
      <w:b/>
      <w:bCs/>
      <w:smallCaps/>
      <w:color w:val="039A6C" w:themeColor="accent1" w:themeShade="BF"/>
      <w:spacing w:val="5"/>
    </w:rPr>
  </w:style>
  <w:style w:type="paragraph" w:customStyle="1" w:styleId="Info">
    <w:name w:val="Info"/>
    <w:basedOn w:val="Normal"/>
    <w:qFormat/>
    <w:rsid w:val="00CF1539"/>
    <w:pPr>
      <w:framePr w:hSpace="180" w:wrap="around" w:vAnchor="page" w:hAnchor="margin" w:y="5119"/>
      <w:spacing w:before="0"/>
    </w:pPr>
    <w:rPr>
      <w:szCs w:val="24"/>
    </w:rPr>
  </w:style>
  <w:style w:type="paragraph" w:customStyle="1" w:styleId="Bold">
    <w:name w:val="Bold"/>
    <w:basedOn w:val="Normal"/>
    <w:qFormat/>
    <w:rsid w:val="00D41196"/>
    <w:rPr>
      <w:rFonts w:asciiTheme="majorHAnsi" w:hAnsiTheme="majorHAnsi"/>
      <w:b/>
      <w:bCs/>
    </w:rPr>
  </w:style>
  <w:style w:type="table" w:styleId="TableGrid">
    <w:name w:val="Table Grid"/>
    <w:basedOn w:val="TableNormal"/>
    <w:uiPriority w:val="39"/>
    <w:rsid w:val="00E14577"/>
    <w:pPr>
      <w:spacing w:after="0" w:line="240" w:lineRule="auto"/>
    </w:pPr>
    <w:rPr>
      <w:kern w:val="0"/>
      <w:sz w:val="18"/>
      <w:szCs w:val="1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1457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4577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577"/>
    <w:rPr>
      <w:rFonts w:eastAsiaTheme="minorEastAsia"/>
      <w:color w:val="000000" w:themeColor="text1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561B6"/>
    <w:pPr>
      <w:tabs>
        <w:tab w:val="center" w:pos="4680"/>
        <w:tab w:val="right" w:pos="9360"/>
      </w:tabs>
      <w:spacing w:before="0" w:line="240" w:lineRule="auto"/>
    </w:pPr>
    <w:rPr>
      <w:rFonts w:cs="Times New Roman (Body CS)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B561B6"/>
    <w:rPr>
      <w:rFonts w:ascii="Microsoft Sans Serif" w:eastAsiaTheme="minorEastAsia" w:hAnsi="Microsoft Sans Serif" w:cs="Times New Roman (Body CS)"/>
      <w:color w:val="000000" w:themeColor="text1"/>
      <w:kern w:val="0"/>
      <w:sz w:val="20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14577"/>
  </w:style>
  <w:style w:type="paragraph" w:styleId="ListBullet">
    <w:name w:val="List Bullet"/>
    <w:basedOn w:val="Normal"/>
    <w:uiPriority w:val="99"/>
    <w:rsid w:val="00D41196"/>
    <w:pPr>
      <w:numPr>
        <w:numId w:val="2"/>
      </w:numPr>
      <w:ind w:left="720"/>
    </w:pPr>
  </w:style>
  <w:style w:type="character" w:styleId="Emphasis">
    <w:name w:val="Emphasis"/>
    <w:basedOn w:val="DefaultParagraphFont"/>
    <w:uiPriority w:val="20"/>
    <w:qFormat/>
    <w:rsid w:val="00D41196"/>
    <w:rPr>
      <w:b/>
      <w:i w:val="0"/>
      <w:iCs/>
    </w:rPr>
  </w:style>
  <w:style w:type="table" w:styleId="PlainTable1">
    <w:name w:val="Plain Table 1"/>
    <w:basedOn w:val="TableNormal"/>
    <w:uiPriority w:val="41"/>
    <w:rsid w:val="001334E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1334E3"/>
    <w:pPr>
      <w:spacing w:after="0" w:line="240" w:lineRule="auto"/>
    </w:pPr>
    <w:tblPr>
      <w:tblStyleRowBandSize w:val="1"/>
      <w:tblStyleColBandSize w:val="1"/>
      <w:tblBorders>
        <w:top w:val="single" w:sz="4" w:space="0" w:color="FFF598" w:themeColor="accent3" w:themeTint="66"/>
        <w:left w:val="single" w:sz="4" w:space="0" w:color="FFF598" w:themeColor="accent3" w:themeTint="66"/>
        <w:bottom w:val="single" w:sz="4" w:space="0" w:color="FFF598" w:themeColor="accent3" w:themeTint="66"/>
        <w:right w:val="single" w:sz="4" w:space="0" w:color="FFF598" w:themeColor="accent3" w:themeTint="66"/>
        <w:insideH w:val="single" w:sz="4" w:space="0" w:color="FFF598" w:themeColor="accent3" w:themeTint="66"/>
        <w:insideV w:val="single" w:sz="4" w:space="0" w:color="FFF5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F1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1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1334E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1334E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661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61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61A7"/>
    <w:rPr>
      <w:rFonts w:eastAsiaTheme="minorEastAsia"/>
      <w:color w:val="000000" w:themeColor="text1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1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1A7"/>
    <w:rPr>
      <w:rFonts w:eastAsiaTheme="minorEastAsia"/>
      <w:b/>
      <w:bCs/>
      <w:color w:val="000000" w:themeColor="text1"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F35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25AB"/>
    <w:pPr>
      <w:spacing w:after="0" w:line="240" w:lineRule="auto"/>
    </w:pPr>
    <w:rPr>
      <w:rFonts w:eastAsiaTheme="minorEastAsia"/>
      <w:color w:val="000000" w:themeColor="text1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s3567\AppData\Local\Microsoft\Office\16.0\DTS\en-US%7b3BC7A632-9B67-40C9-B0EA-1EA5F6950BEF%7d\%7b48DB39B4-DA65-4FA6-8594-22A3DB23A67E%7dTF15d030a7-4d0a-4c1c-8a3e-3a7590a124cedd8a6b98_win32-38785b346894.dotx" TargetMode="External"/></Relationships>
</file>

<file path=word/theme/theme1.xml><?xml version="1.0" encoding="utf-8"?>
<a:theme xmlns:a="http://schemas.openxmlformats.org/drawingml/2006/main" name="Office Theme">
  <a:themeElements>
    <a:clrScheme name="Business report professional design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05CF92"/>
      </a:accent1>
      <a:accent2>
        <a:srgbClr val="0054B9"/>
      </a:accent2>
      <a:accent3>
        <a:srgbClr val="FDE700"/>
      </a:accent3>
      <a:accent4>
        <a:srgbClr val="F160B7"/>
      </a:accent4>
      <a:accent5>
        <a:srgbClr val="714EEB"/>
      </a:accent5>
      <a:accent6>
        <a:srgbClr val="FF3A2E"/>
      </a:accent6>
      <a:hlink>
        <a:srgbClr val="467886"/>
      </a:hlink>
      <a:folHlink>
        <a:srgbClr val="96607D"/>
      </a:folHlink>
    </a:clrScheme>
    <a:fontScheme name="Custom 21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A94286-1488-4B05-BE05-620B873327F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8AA05782-1956-4ABD-9469-5855286A5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CA0720-E518-4C54-8EC1-2FF547E897F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{48DB39B4-DA65-4FA6-8594-22A3DB23A67E}TF15d030a7-4d0a-4c1c-8a3e-3a7590a124cedd8a6b98_win32-38785b346894.dotx</Template>
  <TotalTime>12</TotalTime>
  <Pages>8</Pages>
  <Words>1200</Words>
  <Characters>8100</Characters>
  <Application>Microsoft Office Word</Application>
  <DocSecurity>0</DocSecurity>
  <Lines>257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Sivori,Taylor</dc:creator>
  <cp:keywords/>
  <dc:description/>
  <cp:lastModifiedBy>Jess Fehland</cp:lastModifiedBy>
  <cp:revision>2</cp:revision>
  <cp:lastPrinted>2025-05-01T20:47:00Z</cp:lastPrinted>
  <dcterms:created xsi:type="dcterms:W3CDTF">2026-01-20T20:05:00Z</dcterms:created>
  <dcterms:modified xsi:type="dcterms:W3CDTF">2026-01-20T20:05:00Z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GrammarlyDocumentId">
    <vt:lpwstr>ef6c6013-42cd-4a54-88f3-bc20d6bfecc7</vt:lpwstr>
  </property>
</Properties>
</file>